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C2E3E">
      <w:pPr>
        <w:pStyle w:val="7"/>
        <w:jc w:val="right"/>
        <w:rPr>
          <w:rFonts w:hint="eastAsia" w:ascii="Arial Black" w:hAnsi="Arial Black" w:eastAsia="黑体"/>
          <w:color w:val="000000"/>
          <w:sz w:val="84"/>
          <w:szCs w:val="84"/>
        </w:rPr>
      </w:pPr>
      <w:r>
        <w:rPr>
          <w:rFonts w:ascii="Arial Black" w:hAnsi="Arial Black" w:eastAsia="黑体"/>
          <w:color w:val="000000"/>
          <w:sz w:val="84"/>
          <w:szCs w:val="84"/>
        </w:rPr>
        <w:pict>
          <v:shape id="Object 267" o:spid="_x0000_s2050" o:spt="75" type="#_x0000_t75" style="position:absolute;left:0pt;margin-left:0pt;margin-top:0pt;height:17pt;width:9pt;mso-wrap-distance-bottom:0pt;mso-wrap-distance-top:0pt;z-index:251659264;mso-width-relative:page;mso-height-relative:page;" o:ole="t" filled="f" stroked="f" coordsize="21600,21600" o:allowincell="f">
            <v:path/>
            <v:fill on="f" focussize="0,0"/>
            <v:stroke on="f"/>
            <v:imagedata r:id="rId11" o:title=""/>
            <o:lock v:ext="edit" aspectratio="t"/>
            <w10:wrap type="topAndBottom"/>
          </v:shape>
          <o:OLEObject Type="Embed" ProgID="" ShapeID="Object 267" DrawAspect="Content" ObjectID="_1468075725" r:id="rId10">
            <o:LockedField>false</o:LockedField>
          </o:OLEObject>
        </w:pict>
      </w:r>
      <w:r>
        <w:rPr>
          <w:rFonts w:ascii="Arial Black" w:hAnsi="Arial Black" w:eastAsia="黑体"/>
          <w:color w:val="000000"/>
          <w:sz w:val="84"/>
          <w:szCs w:val="84"/>
        </w:rPr>
        <w:t>JJ</w:t>
      </w:r>
      <w:r>
        <w:rPr>
          <w:rFonts w:hint="eastAsia" w:ascii="Arial Black" w:hAnsi="Arial Black" w:eastAsia="黑体"/>
          <w:color w:val="000000"/>
          <w:sz w:val="84"/>
          <w:szCs w:val="84"/>
        </w:rPr>
        <w:t>G</w:t>
      </w:r>
    </w:p>
    <w:p w14:paraId="68532F80">
      <w:pPr>
        <w:jc w:val="center"/>
        <w:rPr>
          <w:rFonts w:hint="eastAsia"/>
          <w:b/>
          <w:color w:val="000000"/>
          <w:sz w:val="52"/>
        </w:rPr>
      </w:pPr>
      <w:r>
        <w:rPr>
          <w:rFonts w:hint="eastAsia"/>
          <w:b/>
          <w:color w:val="000000"/>
          <w:sz w:val="52"/>
        </w:rPr>
        <w:t>中华人民共和国国家计量检定规程</w:t>
      </w:r>
    </w:p>
    <w:p w14:paraId="74F62174">
      <w:pPr>
        <w:jc w:val="center"/>
        <w:rPr>
          <w:rFonts w:hint="eastAsia" w:ascii="Times New Roman" w:hAnsi="Times New Roman" w:eastAsia="宋体" w:cs="Times New Roman"/>
          <w:color w:val="000000"/>
          <w:sz w:val="24"/>
          <w:szCs w:val="20"/>
        </w:rPr>
      </w:pPr>
    </w:p>
    <w:p w14:paraId="22A5D9A0">
      <w:pPr>
        <w:spacing w:line="360" w:lineRule="exact"/>
        <w:jc w:val="center"/>
        <w:rPr>
          <w:rFonts w:hint="default" w:ascii="黑体" w:eastAsia="黑体"/>
          <w:color w:val="000000"/>
          <w:spacing w:val="40"/>
          <w:sz w:val="28"/>
          <w:lang w:val="en-US" w:eastAsia="zh-CN"/>
        </w:rPr>
      </w:pPr>
      <w:r>
        <w:rPr>
          <w:color w:val="000000"/>
          <w:sz w:val="24"/>
        </w:rPr>
        <w:t xml:space="preserve">                           </w:t>
      </w:r>
      <w:r>
        <w:rPr>
          <w:rFonts w:hint="eastAsia"/>
          <w:color w:val="000000"/>
          <w:sz w:val="24"/>
        </w:rPr>
        <w:t xml:space="preserve">                </w:t>
      </w:r>
      <w:r>
        <w:rPr>
          <w:color w:val="000000"/>
          <w:sz w:val="24"/>
        </w:rPr>
        <w:t xml:space="preserve"> </w:t>
      </w:r>
      <w:r>
        <w:rPr>
          <w:rFonts w:hint="eastAsia" w:ascii="黑体" w:eastAsia="黑体"/>
          <w:b/>
          <w:color w:val="000000"/>
          <w:spacing w:val="40"/>
          <w:sz w:val="28"/>
        </w:rPr>
        <w:t>JJGXXXX－</w:t>
      </w:r>
      <w:r>
        <w:rPr>
          <w:rFonts w:hint="eastAsia" w:ascii="黑体" w:eastAsia="黑体"/>
          <w:b/>
          <w:color w:val="000000"/>
          <w:spacing w:val="40"/>
          <w:sz w:val="28"/>
          <w:lang w:val="en-US" w:eastAsia="zh-CN"/>
        </w:rPr>
        <w:t>2022</w:t>
      </w:r>
    </w:p>
    <w:p w14:paraId="7518EEF6">
      <w:pPr>
        <w:spacing w:line="320" w:lineRule="exact"/>
        <w:rPr>
          <w:rFonts w:ascii="Times New Roman" w:hAnsi="Times New Roman" w:eastAsia="宋体" w:cs="Times New Roman"/>
          <w:color w:val="000000"/>
          <w:sz w:val="44"/>
          <w:szCs w:val="20"/>
        </w:rPr>
      </w:pPr>
    </w:p>
    <w:p w14:paraId="48FE8B09">
      <w:pPr>
        <w:spacing w:line="320" w:lineRule="exact"/>
        <w:rPr>
          <w:rFonts w:hint="eastAsia" w:ascii="Times New Roman" w:hAnsi="Times New Roman" w:eastAsia="宋体" w:cs="Times New Roman"/>
          <w:color w:val="000000"/>
          <w:sz w:val="44"/>
          <w:szCs w:val="20"/>
        </w:rPr>
      </w:pPr>
      <w:r>
        <w:rPr>
          <w:rFonts w:hint="eastAsia" w:ascii="Times New Roman" w:hAnsi="Times New Roman" w:eastAsia="宋体" w:cs="Times New Roman"/>
          <w:color w:val="000000"/>
          <w:sz w:val="44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46990</wp:posOffset>
                </wp:positionV>
                <wp:extent cx="5292090" cy="0"/>
                <wp:effectExtent l="0" t="6350" r="3810" b="635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92090" cy="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5.25pt;margin-top:3.7pt;height:0pt;width:416.7pt;z-index:251661312;mso-width-relative:page;mso-height-relative:page;" filled="f" stroked="t" coordsize="21600,21600" o:gfxdata="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EayD60wAAAAYBAAAPAAAAAAAAAAEAIAAAACIAAABkcnMvZG93bnJl&#10;di54bWxQSwECFAAUAAAACACHTuJAt6us0QICAAD3AwAADgAAAAAAAAABACAAAAAiAQAAZHJzL2Uy&#10;b0RvYy54bWxQSwUGAAAAAAYABgBZAQAAlgUAAAAA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6D6A48E2">
      <w:pPr>
        <w:jc w:val="center"/>
        <w:rPr>
          <w:rFonts w:hint="eastAsia" w:ascii="Times New Roman" w:hAnsi="Times New Roman" w:eastAsia="宋体" w:cs="Times New Roman"/>
          <w:b/>
          <w:color w:val="000000"/>
          <w:sz w:val="44"/>
          <w:szCs w:val="20"/>
        </w:rPr>
      </w:pPr>
    </w:p>
    <w:p w14:paraId="4E2AA216">
      <w:pPr>
        <w:jc w:val="center"/>
        <w:rPr>
          <w:rFonts w:hint="eastAsia" w:ascii="Times New Roman" w:hAnsi="Times New Roman" w:eastAsia="宋体" w:cs="Times New Roman"/>
          <w:b/>
          <w:color w:val="000000"/>
          <w:sz w:val="44"/>
          <w:szCs w:val="20"/>
        </w:rPr>
      </w:pPr>
    </w:p>
    <w:p w14:paraId="1A2E777C">
      <w:pPr>
        <w:jc w:val="center"/>
        <w:rPr>
          <w:rFonts w:hint="eastAsia" w:ascii="黑体" w:eastAsia="黑体"/>
          <w:b/>
          <w:color w:val="000000"/>
          <w:sz w:val="52"/>
        </w:rPr>
      </w:pPr>
      <w:r>
        <w:rPr>
          <w:rFonts w:hint="eastAsia" w:ascii="黑体" w:hAnsi="黑体" w:eastAsia="黑体"/>
          <w:b/>
          <w:color w:val="000000"/>
          <w:sz w:val="52"/>
        </w:rPr>
        <w:t>γ放射免疫计数器</w:t>
      </w:r>
    </w:p>
    <w:p w14:paraId="38C24C9B">
      <w:pPr>
        <w:jc w:val="center"/>
        <w:rPr>
          <w:rFonts w:hint="default" w:ascii="黑体" w:eastAsia="黑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color w:val="000000"/>
          <w:sz w:val="28"/>
          <w:szCs w:val="28"/>
          <w:lang w:val="en-US" w:eastAsia="zh-CN"/>
        </w:rPr>
        <w:t>Gamma Radioimmunoassay Counters</w:t>
      </w:r>
    </w:p>
    <w:p w14:paraId="4F5DA339">
      <w:pPr>
        <w:jc w:val="center"/>
        <w:rPr>
          <w:color w:val="000000"/>
        </w:rPr>
      </w:pPr>
      <w:r>
        <w:rPr>
          <w:color w:val="000000"/>
          <w:sz w:val="44"/>
        </w:rPr>
        <w:t>(</w:t>
      </w:r>
      <w:r>
        <w:rPr>
          <w:rFonts w:hint="eastAsia"/>
          <w:color w:val="000000"/>
          <w:sz w:val="36"/>
        </w:rPr>
        <w:t>征求意见稿</w:t>
      </w:r>
      <w:r>
        <w:rPr>
          <w:rFonts w:hint="eastAsia"/>
          <w:color w:val="000000"/>
          <w:sz w:val="44"/>
        </w:rPr>
        <w:t>)</w:t>
      </w:r>
    </w:p>
    <w:p w14:paraId="420948AA">
      <w:pPr>
        <w:rPr>
          <w:rFonts w:ascii="Times New Roman" w:hAnsi="Times New Roman" w:eastAsia="宋体" w:cs="Times New Roman"/>
          <w:color w:val="000000"/>
          <w:szCs w:val="20"/>
        </w:rPr>
      </w:pPr>
    </w:p>
    <w:p w14:paraId="38413A4E">
      <w:pPr>
        <w:rPr>
          <w:rFonts w:ascii="Times New Roman" w:hAnsi="Times New Roman" w:eastAsia="宋体" w:cs="Times New Roman"/>
          <w:color w:val="000000"/>
          <w:szCs w:val="20"/>
        </w:rPr>
      </w:pPr>
    </w:p>
    <w:p w14:paraId="4F56FD3D">
      <w:pPr>
        <w:rPr>
          <w:rFonts w:ascii="Times New Roman" w:hAnsi="Times New Roman" w:eastAsia="宋体" w:cs="Times New Roman"/>
          <w:color w:val="000000"/>
          <w:szCs w:val="20"/>
        </w:rPr>
      </w:pPr>
    </w:p>
    <w:p w14:paraId="64A38539">
      <w:pPr>
        <w:rPr>
          <w:rFonts w:ascii="Times New Roman" w:hAnsi="Times New Roman" w:eastAsia="宋体" w:cs="Times New Roman"/>
          <w:color w:val="000000"/>
          <w:szCs w:val="20"/>
        </w:rPr>
      </w:pPr>
    </w:p>
    <w:p w14:paraId="5D8D9F8A">
      <w:pPr>
        <w:rPr>
          <w:rFonts w:ascii="Times New Roman" w:hAnsi="Times New Roman" w:eastAsia="宋体" w:cs="Times New Roman"/>
          <w:color w:val="000000"/>
          <w:szCs w:val="20"/>
        </w:rPr>
      </w:pPr>
    </w:p>
    <w:p w14:paraId="4484F8EE">
      <w:pPr>
        <w:rPr>
          <w:rFonts w:hint="eastAsia" w:ascii="Times New Roman" w:hAnsi="Times New Roman" w:eastAsia="宋体" w:cs="Times New Roman"/>
          <w:color w:val="000000"/>
          <w:szCs w:val="20"/>
        </w:rPr>
      </w:pPr>
    </w:p>
    <w:p w14:paraId="5D9ACDF3">
      <w:pPr>
        <w:rPr>
          <w:rFonts w:hint="eastAsia" w:ascii="Times New Roman" w:hAnsi="Times New Roman" w:eastAsia="宋体" w:cs="Times New Roman"/>
          <w:color w:val="000000"/>
          <w:szCs w:val="20"/>
        </w:rPr>
      </w:pPr>
    </w:p>
    <w:p w14:paraId="4C657A23">
      <w:pPr>
        <w:rPr>
          <w:rFonts w:hint="eastAsia" w:ascii="Times New Roman" w:hAnsi="Times New Roman" w:eastAsia="宋体" w:cs="Times New Roman"/>
          <w:color w:val="000000"/>
          <w:szCs w:val="20"/>
        </w:rPr>
      </w:pPr>
    </w:p>
    <w:p w14:paraId="10DC9C94">
      <w:pPr>
        <w:rPr>
          <w:rFonts w:hint="eastAsia" w:ascii="Times New Roman" w:hAnsi="Times New Roman" w:eastAsia="宋体" w:cs="Times New Roman"/>
          <w:color w:val="000000"/>
          <w:szCs w:val="20"/>
        </w:rPr>
      </w:pPr>
    </w:p>
    <w:p w14:paraId="7FC3F594">
      <w:pPr>
        <w:rPr>
          <w:rFonts w:hint="eastAsia" w:ascii="Times New Roman" w:hAnsi="Times New Roman" w:eastAsia="宋体" w:cs="Times New Roman"/>
          <w:color w:val="000000"/>
          <w:szCs w:val="20"/>
        </w:rPr>
      </w:pPr>
    </w:p>
    <w:p w14:paraId="1E960407">
      <w:pPr>
        <w:rPr>
          <w:rFonts w:hint="eastAsia" w:ascii="Times New Roman" w:hAnsi="Times New Roman" w:eastAsia="宋体" w:cs="Times New Roman"/>
          <w:color w:val="000000"/>
          <w:szCs w:val="20"/>
        </w:rPr>
      </w:pPr>
    </w:p>
    <w:p w14:paraId="3FFCBD43">
      <w:pPr>
        <w:rPr>
          <w:rFonts w:hint="eastAsia" w:ascii="Times New Roman" w:hAnsi="Times New Roman" w:eastAsia="宋体" w:cs="Times New Roman"/>
          <w:color w:val="000000"/>
          <w:szCs w:val="20"/>
        </w:rPr>
      </w:pPr>
    </w:p>
    <w:p w14:paraId="6F273BB9">
      <w:pPr>
        <w:rPr>
          <w:rFonts w:hint="eastAsia" w:ascii="Times New Roman" w:hAnsi="Times New Roman" w:eastAsia="宋体" w:cs="Times New Roman"/>
          <w:color w:val="000000"/>
          <w:szCs w:val="20"/>
        </w:rPr>
      </w:pPr>
      <w:r>
        <w:rPr>
          <w:rFonts w:hint="eastAsia" w:ascii="Times New Roman" w:hAnsi="Times New Roman" w:eastAsia="宋体" w:cs="Times New Roman"/>
          <w:color w:val="000000"/>
          <w:szCs w:val="20"/>
        </w:rPr>
        <w:t xml:space="preserve"> </w:t>
      </w:r>
    </w:p>
    <w:p w14:paraId="585DBFF1">
      <w:pPr>
        <w:spacing w:line="360" w:lineRule="auto"/>
        <w:rPr>
          <w:rFonts w:hint="eastAsia" w:ascii="Times New Roman" w:hAnsi="Times New Roman" w:eastAsia="宋体" w:cs="Times New Roman"/>
          <w:color w:val="000000"/>
          <w:szCs w:val="20"/>
        </w:rPr>
      </w:pPr>
    </w:p>
    <w:p w14:paraId="1611EF40">
      <w:pPr>
        <w:jc w:val="center"/>
        <w:rPr>
          <w:rFonts w:ascii="黑体" w:eastAsia="黑体"/>
          <w:color w:val="000000"/>
          <w:sz w:val="28"/>
        </w:rPr>
      </w:pPr>
      <w:r>
        <w:rPr>
          <w:rFonts w:ascii="黑体" w:eastAsia="黑体"/>
          <w:color w:val="000000"/>
          <w:spacing w:val="40"/>
          <w:sz w:val="28"/>
        </w:rPr>
        <w:t>XXXX</w:t>
      </w:r>
      <w:r>
        <w:rPr>
          <w:rFonts w:hint="eastAsia" w:ascii="黑体" w:eastAsia="黑体"/>
          <w:color w:val="000000"/>
          <w:spacing w:val="40"/>
          <w:sz w:val="28"/>
        </w:rPr>
        <w:t>－</w:t>
      </w:r>
      <w:r>
        <w:rPr>
          <w:rFonts w:ascii="黑体" w:eastAsia="黑体"/>
          <w:color w:val="000000"/>
          <w:spacing w:val="40"/>
          <w:sz w:val="28"/>
        </w:rPr>
        <w:t>XX</w:t>
      </w:r>
      <w:r>
        <w:rPr>
          <w:rFonts w:hint="eastAsia" w:ascii="黑体" w:eastAsia="黑体"/>
          <w:color w:val="000000"/>
          <w:spacing w:val="40"/>
          <w:sz w:val="28"/>
        </w:rPr>
        <w:t>－</w:t>
      </w:r>
      <w:r>
        <w:rPr>
          <w:rFonts w:ascii="黑体" w:eastAsia="黑体"/>
          <w:color w:val="000000"/>
          <w:spacing w:val="40"/>
          <w:sz w:val="28"/>
        </w:rPr>
        <w:t>XX</w:t>
      </w:r>
      <w:r>
        <w:rPr>
          <w:rFonts w:hint="eastAsia" w:ascii="黑体" w:eastAsia="黑体"/>
          <w:color w:val="000000"/>
          <w:sz w:val="28"/>
        </w:rPr>
        <w:t>发布</w:t>
      </w:r>
      <w:r>
        <w:rPr>
          <w:rFonts w:ascii="黑体" w:eastAsia="黑体"/>
          <w:color w:val="000000"/>
          <w:sz w:val="28"/>
        </w:rPr>
        <w:t xml:space="preserve">          </w:t>
      </w:r>
      <w:r>
        <w:rPr>
          <w:rFonts w:ascii="黑体" w:eastAsia="黑体"/>
          <w:color w:val="000000"/>
          <w:spacing w:val="40"/>
          <w:sz w:val="28"/>
        </w:rPr>
        <w:t>XXXX</w:t>
      </w:r>
      <w:r>
        <w:rPr>
          <w:rFonts w:hint="eastAsia" w:ascii="黑体" w:eastAsia="黑体"/>
          <w:color w:val="000000"/>
          <w:spacing w:val="40"/>
          <w:sz w:val="28"/>
        </w:rPr>
        <w:t>－</w:t>
      </w:r>
      <w:r>
        <w:rPr>
          <w:rFonts w:ascii="黑体" w:eastAsia="黑体"/>
          <w:color w:val="000000"/>
          <w:spacing w:val="40"/>
          <w:sz w:val="28"/>
        </w:rPr>
        <w:t>XX</w:t>
      </w:r>
      <w:r>
        <w:rPr>
          <w:rFonts w:hint="eastAsia" w:ascii="黑体" w:eastAsia="黑体"/>
          <w:color w:val="000000"/>
          <w:spacing w:val="40"/>
          <w:sz w:val="28"/>
        </w:rPr>
        <w:t>－</w:t>
      </w:r>
      <w:r>
        <w:rPr>
          <w:rFonts w:ascii="黑体" w:eastAsia="黑体"/>
          <w:color w:val="000000"/>
          <w:spacing w:val="40"/>
          <w:sz w:val="28"/>
        </w:rPr>
        <w:t>XX</w:t>
      </w:r>
      <w:r>
        <w:rPr>
          <w:rFonts w:hint="eastAsia" w:ascii="黑体" w:eastAsia="黑体"/>
          <w:color w:val="000000"/>
          <w:sz w:val="28"/>
        </w:rPr>
        <w:t>实施</w:t>
      </w:r>
    </w:p>
    <w:p w14:paraId="045F2539">
      <w:pPr>
        <w:pStyle w:val="7"/>
        <w:jc w:val="left"/>
        <w:rPr>
          <w:rFonts w:hint="eastAsia"/>
          <w:b/>
          <w:color w:val="000000"/>
          <w:spacing w:val="40"/>
          <w:w w:val="150"/>
          <w:sz w:val="36"/>
        </w:rPr>
      </w:pPr>
      <w:r>
        <w:rPr>
          <w:rFonts w:hint="eastAsia"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205105</wp:posOffset>
                </wp:positionV>
                <wp:extent cx="5292090" cy="0"/>
                <wp:effectExtent l="0" t="6350" r="3810" b="635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92090" cy="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0pt;margin-top:16.15pt;height:0pt;width:416.7pt;z-index:251662336;mso-width-relative:page;mso-height-relative:page;" filled="f" stroked="t" coordsize="21600,21600" o:gfxdata="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PeN1PUAAAABgEAAA8AAAAAAAAAAQAgAAAAIgAAAGRycy9kb3du&#10;cmV2LnhtbFBLAQIUABQAAAAIAIdO4kC8fqUfAwIAAPcDAAAOAAAAAAAAAAEAIAAAACMBAABkcnMv&#10;ZTJvRG9jLnhtbFBLBQYAAAAABgAGAFkBAACYBQAAAAA=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4D9EF591">
      <w:pPr>
        <w:pStyle w:val="7"/>
        <w:jc w:val="left"/>
        <w:rPr>
          <w:rFonts w:hint="eastAsia" w:ascii="黑体" w:eastAsia="黑体"/>
          <w:color w:val="000000"/>
          <w:sz w:val="28"/>
        </w:rPr>
      </w:pPr>
      <w:r>
        <w:rPr>
          <w:rFonts w:hint="eastAsia"/>
          <w:b/>
          <w:color w:val="000000"/>
          <w:spacing w:val="40"/>
          <w:w w:val="150"/>
          <w:sz w:val="32"/>
          <w:szCs w:val="32"/>
        </w:rPr>
        <w:t xml:space="preserve"> </w:t>
      </w:r>
      <w:r>
        <w:rPr>
          <w:b/>
          <w:color w:val="000000"/>
          <w:spacing w:val="40"/>
          <w:w w:val="150"/>
          <w:sz w:val="32"/>
          <w:szCs w:val="32"/>
        </w:rPr>
        <w:t xml:space="preserve">  </w:t>
      </w:r>
      <w:r>
        <w:rPr>
          <w:rFonts w:hint="eastAsia"/>
          <w:b/>
          <w:color w:val="000000"/>
          <w:spacing w:val="40"/>
          <w:w w:val="150"/>
          <w:sz w:val="32"/>
          <w:szCs w:val="32"/>
        </w:rPr>
        <w:t>国家市场监督管理总局</w:t>
      </w:r>
      <w:r>
        <w:rPr>
          <w:rFonts w:hint="eastAsia"/>
          <w:b/>
          <w:color w:val="000000"/>
          <w:spacing w:val="40"/>
          <w:w w:val="150"/>
          <w:sz w:val="36"/>
        </w:rPr>
        <w:t xml:space="preserve"> </w:t>
      </w:r>
      <w:r>
        <w:rPr>
          <w:rFonts w:hint="eastAsia" w:ascii="黑体" w:eastAsia="黑体"/>
          <w:color w:val="000000"/>
          <w:sz w:val="28"/>
        </w:rPr>
        <w:t xml:space="preserve">发 布   </w:t>
      </w:r>
    </w:p>
    <w:p w14:paraId="527870EA"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br w:type="page"/>
      </w:r>
    </w:p>
    <w:p w14:paraId="6C60CE8D">
      <w:pPr>
        <w:pStyle w:val="7"/>
        <w:jc w:val="left"/>
        <w:rPr>
          <w:rFonts w:hint="eastAsia" w:ascii="黑体" w:eastAsia="黑体" w:cs="Times New Roman"/>
          <w:color w:val="000000"/>
          <w:sz w:val="28"/>
          <w:szCs w:val="20"/>
        </w:rPr>
      </w:pPr>
    </w:p>
    <w:p w14:paraId="3CC6C7AE">
      <w:pPr>
        <w:pStyle w:val="7"/>
        <w:jc w:val="left"/>
        <w:rPr>
          <w:rFonts w:hint="eastAsia" w:ascii="黑体" w:eastAsia="黑体"/>
          <w:color w:val="000000"/>
          <w:sz w:val="44"/>
          <w:szCs w:val="44"/>
        </w:rPr>
      </w:pPr>
      <w:r>
        <w:rPr>
          <w:rFonts w:hint="eastAsia" w:ascii="黑体" w:eastAsia="黑体" w:cs="Times New Roman"/>
          <w:color w:val="000000"/>
          <w:sz w:val="28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3639820</wp:posOffset>
            </wp:positionH>
            <wp:positionV relativeFrom="paragraph">
              <wp:posOffset>427355</wp:posOffset>
            </wp:positionV>
            <wp:extent cx="1692275" cy="828040"/>
            <wp:effectExtent l="0" t="0" r="9525" b="10160"/>
            <wp:wrapNone/>
            <wp:docPr id="10" name="图片 59" descr="20171102165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9" descr="201711021658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color w:val="000000"/>
          <w:sz w:val="44"/>
          <w:szCs w:val="44"/>
        </w:rPr>
        <w:t xml:space="preserve"> </w:t>
      </w:r>
      <w:r>
        <w:rPr>
          <w:rFonts w:hint="eastAsia" w:ascii="黑体" w:hAnsi="黑体" w:eastAsia="黑体"/>
          <w:b/>
          <w:color w:val="000000"/>
          <w:sz w:val="52"/>
        </w:rPr>
        <w:t>伽</w:t>
      </w:r>
      <w:r>
        <w:rPr>
          <w:rFonts w:hint="eastAsia" w:ascii="黑体" w:hAnsi="黑体" w:eastAsia="黑体"/>
          <w:b/>
          <w:color w:val="000000"/>
          <w:sz w:val="52"/>
          <w:lang w:val="en-US" w:eastAsia="zh-CN"/>
        </w:rPr>
        <w:t>马</w:t>
      </w:r>
      <w:r>
        <w:rPr>
          <w:rFonts w:hint="eastAsia" w:ascii="黑体" w:hAnsi="黑体" w:eastAsia="黑体"/>
          <w:b/>
          <w:color w:val="000000"/>
          <w:sz w:val="52"/>
        </w:rPr>
        <w:t>放射免疫计数器检定规程</w:t>
      </w:r>
    </w:p>
    <w:p w14:paraId="3F95BB29">
      <w:pPr>
        <w:pStyle w:val="7"/>
        <w:ind w:left="279" w:leftChars="133"/>
        <w:rPr>
          <w:rFonts w:hint="eastAsia" w:ascii="黑体" w:hAnsi="Times New Roman" w:eastAsia="黑体"/>
          <w:color w:val="000000"/>
          <w:sz w:val="28"/>
        </w:rPr>
      </w:pPr>
      <w:r>
        <w:rPr>
          <w:rFonts w:hint="eastAsia" w:ascii="黑体" w:eastAsia="黑体" w:cs="Times New Roman"/>
          <w:color w:val="000000"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3637280</wp:posOffset>
                </wp:positionH>
                <wp:positionV relativeFrom="paragraph">
                  <wp:posOffset>90170</wp:posOffset>
                </wp:positionV>
                <wp:extent cx="1725295" cy="791845"/>
                <wp:effectExtent l="0" t="0" r="0" b="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5295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67A91AA">
                            <w:pPr>
                              <w:jc w:val="center"/>
                              <w:rPr>
                                <w:rFonts w:hint="default" w:eastAsia="黑体"/>
                                <w:b/>
                                <w:bCs/>
                                <w:sz w:val="26"/>
                                <w:szCs w:val="26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>JJ</w:t>
                            </w:r>
                            <w:r>
                              <w:rPr>
                                <w:rFonts w:hint="eastAsia"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>G</w:t>
                            </w:r>
                            <w:r>
                              <w:rPr>
                                <w:rFonts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黑体"/>
                                <w:b/>
                                <w:bCs/>
                                <w:sz w:val="26"/>
                                <w:szCs w:val="26"/>
                                <w:lang w:val="en-US" w:eastAsia="zh-CN"/>
                              </w:rPr>
                              <w:t>***</w:t>
                            </w:r>
                            <w:r>
                              <w:rPr>
                                <w:rFonts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>—20</w:t>
                            </w:r>
                            <w:r>
                              <w:rPr>
                                <w:rFonts w:hint="eastAsia" w:eastAsia="黑体"/>
                                <w:b/>
                                <w:bCs/>
                                <w:sz w:val="26"/>
                                <w:szCs w:val="26"/>
                                <w:lang w:val="en-US" w:eastAsia="zh-CN"/>
                              </w:rPr>
                              <w:t>22</w:t>
                            </w:r>
                          </w:p>
                          <w:p w14:paraId="7F3AC0B1">
                            <w:pPr>
                              <w:jc w:val="center"/>
                              <w:rPr>
                                <w:rFonts w:hint="default" w:eastAsia="黑体"/>
                                <w:b/>
                                <w:bCs/>
                                <w:sz w:val="26"/>
                                <w:szCs w:val="2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>代替</w:t>
                            </w:r>
                            <w:r>
                              <w:rPr>
                                <w:rFonts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>JJ</w:t>
                            </w:r>
                            <w:r>
                              <w:rPr>
                                <w:rFonts w:hint="eastAsia"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>G</w:t>
                            </w:r>
                            <w:r>
                              <w:rPr>
                                <w:rFonts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黑体"/>
                                <w:b/>
                                <w:bCs/>
                                <w:sz w:val="26"/>
                                <w:szCs w:val="26"/>
                                <w:lang w:val="en-US" w:eastAsia="zh-CN"/>
                              </w:rPr>
                              <w:t>969</w:t>
                            </w:r>
                            <w:r>
                              <w:rPr>
                                <w:rFonts w:eastAsia="黑体"/>
                                <w:b/>
                                <w:bCs/>
                                <w:sz w:val="26"/>
                                <w:szCs w:val="26"/>
                              </w:rPr>
                              <w:t>—20</w:t>
                            </w:r>
                            <w:r>
                              <w:rPr>
                                <w:rFonts w:hint="eastAsia" w:eastAsia="黑体"/>
                                <w:b/>
                                <w:bCs/>
                                <w:sz w:val="26"/>
                                <w:szCs w:val="26"/>
                                <w:lang w:val="en-US" w:eastAsia="zh-CN"/>
                              </w:rPr>
                              <w:t>02</w:t>
                            </w:r>
                          </w:p>
                          <w:p w14:paraId="05633F53">
                            <w:pPr>
                              <w:jc w:val="center"/>
                              <w:rPr>
                                <w:rFonts w:eastAsia="黑体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6.4pt;margin-top:7.1pt;height:62.35pt;width:135.85pt;z-index:251665408;mso-width-relative:page;mso-height-relative:page;" filled="f" stroked="f" coordsize="21600,21600" o:gfxdata="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WsdazbAAAACgEAAA8AAAAA&#10;AAAAAQAgAAAAIgAAAGRycy9kb3ducmV2LnhtbFBLAQIUABQAAAAIAIdO4kDt0MJWEQIAABYEAAAO&#10;AAAAAAAAAAEAIAAAACoBAABkcnMvZTJvRG9jLnhtbFBLBQYAAAAABgAGAFkBAACt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67A91AA">
                      <w:pPr>
                        <w:jc w:val="center"/>
                        <w:rPr>
                          <w:rFonts w:hint="default" w:eastAsia="黑体"/>
                          <w:b/>
                          <w:bCs/>
                          <w:sz w:val="26"/>
                          <w:szCs w:val="26"/>
                          <w:lang w:val="en-US" w:eastAsia="zh-CN"/>
                        </w:rPr>
                      </w:pPr>
                      <w:r>
                        <w:rPr>
                          <w:rFonts w:eastAsia="黑体"/>
                          <w:b/>
                          <w:bCs/>
                          <w:sz w:val="26"/>
                          <w:szCs w:val="26"/>
                        </w:rPr>
                        <w:t>JJ</w:t>
                      </w:r>
                      <w:r>
                        <w:rPr>
                          <w:rFonts w:hint="eastAsia" w:eastAsia="黑体"/>
                          <w:b/>
                          <w:bCs/>
                          <w:sz w:val="26"/>
                          <w:szCs w:val="26"/>
                        </w:rPr>
                        <w:t>G</w:t>
                      </w:r>
                      <w:r>
                        <w:rPr>
                          <w:rFonts w:eastAsia="黑体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hint="eastAsia" w:eastAsia="黑体"/>
                          <w:b/>
                          <w:bCs/>
                          <w:sz w:val="26"/>
                          <w:szCs w:val="26"/>
                          <w:lang w:val="en-US" w:eastAsia="zh-CN"/>
                        </w:rPr>
                        <w:t>***</w:t>
                      </w:r>
                      <w:r>
                        <w:rPr>
                          <w:rFonts w:eastAsia="黑体"/>
                          <w:b/>
                          <w:bCs/>
                          <w:sz w:val="26"/>
                          <w:szCs w:val="26"/>
                        </w:rPr>
                        <w:t>—20</w:t>
                      </w:r>
                      <w:r>
                        <w:rPr>
                          <w:rFonts w:hint="eastAsia" w:eastAsia="黑体"/>
                          <w:b/>
                          <w:bCs/>
                          <w:sz w:val="26"/>
                          <w:szCs w:val="26"/>
                          <w:lang w:val="en-US" w:eastAsia="zh-CN"/>
                        </w:rPr>
                        <w:t>22</w:t>
                      </w:r>
                    </w:p>
                    <w:p w14:paraId="7F3AC0B1">
                      <w:pPr>
                        <w:jc w:val="center"/>
                        <w:rPr>
                          <w:rFonts w:hint="default" w:eastAsia="黑体"/>
                          <w:b/>
                          <w:bCs/>
                          <w:sz w:val="26"/>
                          <w:szCs w:val="26"/>
                          <w:lang w:val="en-US" w:eastAsia="zh-CN"/>
                        </w:rPr>
                      </w:pPr>
                      <w:r>
                        <w:rPr>
                          <w:rFonts w:hint="eastAsia" w:eastAsia="黑体"/>
                          <w:b/>
                          <w:bCs/>
                          <w:sz w:val="26"/>
                          <w:szCs w:val="26"/>
                        </w:rPr>
                        <w:t>代替</w:t>
                      </w:r>
                      <w:r>
                        <w:rPr>
                          <w:rFonts w:eastAsia="黑体"/>
                          <w:b/>
                          <w:bCs/>
                          <w:sz w:val="26"/>
                          <w:szCs w:val="26"/>
                        </w:rPr>
                        <w:t>JJ</w:t>
                      </w:r>
                      <w:r>
                        <w:rPr>
                          <w:rFonts w:hint="eastAsia" w:eastAsia="黑体"/>
                          <w:b/>
                          <w:bCs/>
                          <w:sz w:val="26"/>
                          <w:szCs w:val="26"/>
                        </w:rPr>
                        <w:t>G</w:t>
                      </w:r>
                      <w:r>
                        <w:rPr>
                          <w:rFonts w:eastAsia="黑体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hint="eastAsia" w:eastAsia="黑体"/>
                          <w:b/>
                          <w:bCs/>
                          <w:sz w:val="26"/>
                          <w:szCs w:val="26"/>
                          <w:lang w:val="en-US" w:eastAsia="zh-CN"/>
                        </w:rPr>
                        <w:t>969</w:t>
                      </w:r>
                      <w:r>
                        <w:rPr>
                          <w:rFonts w:eastAsia="黑体"/>
                          <w:b/>
                          <w:bCs/>
                          <w:sz w:val="26"/>
                          <w:szCs w:val="26"/>
                        </w:rPr>
                        <w:t>—20</w:t>
                      </w:r>
                      <w:r>
                        <w:rPr>
                          <w:rFonts w:hint="eastAsia" w:eastAsia="黑体"/>
                          <w:b/>
                          <w:bCs/>
                          <w:sz w:val="26"/>
                          <w:szCs w:val="26"/>
                          <w:lang w:val="en-US" w:eastAsia="zh-CN"/>
                        </w:rPr>
                        <w:t>02</w:t>
                      </w:r>
                    </w:p>
                    <w:p w14:paraId="05633F53">
                      <w:pPr>
                        <w:jc w:val="center"/>
                        <w:rPr>
                          <w:rFonts w:eastAsia="黑体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hAnsi="Times New Roman" w:eastAsia="黑体"/>
          <w:color w:val="000000"/>
          <w:sz w:val="28"/>
        </w:rPr>
        <w:t xml:space="preserve">Verification Regulation of </w:t>
      </w:r>
    </w:p>
    <w:p w14:paraId="668EA931">
      <w:pPr>
        <w:pStyle w:val="7"/>
        <w:ind w:left="279" w:leftChars="133"/>
        <w:rPr>
          <w:rFonts w:hint="default" w:ascii="黑体" w:hAnsi="Times New Roman" w:eastAsia="黑体"/>
          <w:color w:val="000000"/>
          <w:sz w:val="28"/>
          <w:lang w:val="en-US" w:eastAsia="zh-CN"/>
        </w:rPr>
      </w:pPr>
      <w:r>
        <w:rPr>
          <w:rFonts w:hint="eastAsia" w:ascii="黑体" w:hAnsi="Times New Roman" w:eastAsia="黑体"/>
          <w:color w:val="000000"/>
          <w:sz w:val="28"/>
        </w:rPr>
        <w:t xml:space="preserve">Gamma </w:t>
      </w:r>
      <w:r>
        <w:rPr>
          <w:rFonts w:hint="eastAsia" w:ascii="黑体" w:hAnsi="Times New Roman" w:eastAsia="黑体"/>
          <w:color w:val="000000"/>
          <w:sz w:val="28"/>
          <w:lang w:val="en-US" w:eastAsia="zh-CN"/>
        </w:rPr>
        <w:t>Radioimmunoassay Counters</w:t>
      </w:r>
    </w:p>
    <w:p w14:paraId="1F919755">
      <w:pPr>
        <w:pStyle w:val="7"/>
        <w:spacing w:line="400" w:lineRule="exact"/>
        <w:rPr>
          <w:rFonts w:eastAsia="宋体" w:cs="Times New Roman"/>
          <w:color w:val="000000"/>
          <w:sz w:val="28"/>
          <w:szCs w:val="20"/>
        </w:rPr>
      </w:pPr>
    </w:p>
    <w:p w14:paraId="57416E50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  <w:r>
        <w:rPr>
          <w:rFonts w:hint="eastAsia" w:eastAsia="宋体" w:cs="Times New Roman"/>
          <w:color w:val="000000"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48260</wp:posOffset>
                </wp:positionH>
                <wp:positionV relativeFrom="paragraph">
                  <wp:posOffset>179070</wp:posOffset>
                </wp:positionV>
                <wp:extent cx="5292090" cy="0"/>
                <wp:effectExtent l="0" t="6350" r="3810" b="635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92090" cy="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8pt;margin-top:14.1pt;height:0pt;width:416.7pt;z-index:251664384;mso-width-relative:page;mso-height-relative:page;" filled="f" stroked="t" coordsize="21600,21600" o:gfxdata="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2PU5LUAAAABwEAAA8AAAAAAAAAAQAgAAAAIgAAAGRycy9kb3du&#10;cmV2LnhtbFBLAQIUABQAAAAIAIdO4kAjdsP7AwIAAPkDAAAOAAAAAAAAAAEAIAAAACMBAABkcnMv&#10;ZTJvRG9jLnhtbFBLBQYAAAAABgAGAFkBAACYBQAAAAA=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3DF876DB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5B7600FC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7CC9ED6A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4AB1E264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2A2AA763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4F658902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1763726E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6882DEEB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7A3284C2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16CFE4A5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4DD1C3B4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7378A193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234AD69C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287B2834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60BC5E4A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0E72FDC3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199259AE">
      <w:pPr>
        <w:pStyle w:val="7"/>
        <w:spacing w:line="400" w:lineRule="exact"/>
        <w:rPr>
          <w:rFonts w:hint="eastAsia" w:eastAsia="宋体" w:cs="Times New Roman"/>
          <w:color w:val="000000"/>
          <w:sz w:val="28"/>
          <w:szCs w:val="20"/>
        </w:rPr>
      </w:pPr>
    </w:p>
    <w:p w14:paraId="61425336">
      <w:pPr>
        <w:pStyle w:val="7"/>
        <w:spacing w:line="360" w:lineRule="auto"/>
        <w:jc w:val="center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归口单位: 全国电离辐射计量技术委员会</w:t>
      </w:r>
    </w:p>
    <w:p w14:paraId="5ECE69D2">
      <w:pPr>
        <w:pStyle w:val="7"/>
        <w:spacing w:line="360" w:lineRule="auto"/>
        <w:jc w:val="center"/>
        <w:rPr>
          <w:rFonts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主要起草单位: 中国计量科学研究院</w:t>
      </w:r>
    </w:p>
    <w:p w14:paraId="62082285">
      <w:pPr>
        <w:pStyle w:val="7"/>
        <w:jc w:val="center"/>
        <w:rPr>
          <w:rFonts w:hint="eastAsia" w:ascii="黑体" w:eastAsia="黑体" w:cs="Times New Roman"/>
          <w:color w:val="000000"/>
          <w:sz w:val="28"/>
          <w:szCs w:val="20"/>
        </w:rPr>
      </w:pPr>
    </w:p>
    <w:p w14:paraId="7A0463E1">
      <w:pPr>
        <w:pStyle w:val="7"/>
        <w:jc w:val="center"/>
        <w:rPr>
          <w:rFonts w:hint="eastAsia" w:ascii="黑体" w:eastAsia="黑体" w:cs="Times New Roman"/>
          <w:color w:val="000000"/>
          <w:sz w:val="28"/>
          <w:szCs w:val="20"/>
        </w:rPr>
      </w:pPr>
    </w:p>
    <w:p w14:paraId="71629305">
      <w:pPr>
        <w:pStyle w:val="7"/>
        <w:jc w:val="center"/>
        <w:rPr>
          <w:rFonts w:hint="eastAsia" w:ascii="黑体" w:eastAsia="黑体" w:cs="Times New Roman"/>
          <w:color w:val="000000"/>
          <w:sz w:val="28"/>
          <w:szCs w:val="20"/>
        </w:rPr>
      </w:pPr>
    </w:p>
    <w:p w14:paraId="4A51737C">
      <w:pPr>
        <w:pStyle w:val="7"/>
        <w:jc w:val="center"/>
        <w:rPr>
          <w:rFonts w:hint="eastAsia" w:ascii="黑体" w:eastAsia="黑体" w:cs="Times New Roman"/>
          <w:color w:val="000000"/>
          <w:sz w:val="28"/>
          <w:szCs w:val="20"/>
        </w:rPr>
      </w:pPr>
    </w:p>
    <w:p w14:paraId="167FB364">
      <w:pPr>
        <w:pStyle w:val="7"/>
        <w:jc w:val="center"/>
        <w:rPr>
          <w:rFonts w:hint="eastAsia" w:ascii="黑体" w:eastAsia="黑体" w:cs="Times New Roman"/>
          <w:color w:val="000000"/>
          <w:sz w:val="28"/>
          <w:szCs w:val="20"/>
        </w:rPr>
      </w:pPr>
    </w:p>
    <w:p w14:paraId="0A76A67F">
      <w:pPr>
        <w:pStyle w:val="7"/>
        <w:jc w:val="center"/>
        <w:rPr>
          <w:rFonts w:hint="eastAsia" w:ascii="黑体" w:eastAsia="黑体" w:cs="Times New Roman"/>
          <w:color w:val="000000"/>
          <w:sz w:val="28"/>
          <w:szCs w:val="20"/>
        </w:rPr>
      </w:pPr>
    </w:p>
    <w:p w14:paraId="0DD1CB9F">
      <w:pPr>
        <w:pStyle w:val="7"/>
        <w:rPr>
          <w:rFonts w:hint="eastAsia" w:ascii="黑体" w:eastAsia="黑体"/>
          <w:color w:val="000000"/>
          <w:sz w:val="28"/>
        </w:rPr>
      </w:pPr>
    </w:p>
    <w:p w14:paraId="2F7476F8">
      <w:pPr>
        <w:pStyle w:val="7"/>
        <w:rPr>
          <w:rFonts w:hint="eastAsia" w:ascii="黑体" w:eastAsia="黑体"/>
          <w:color w:val="000000"/>
          <w:sz w:val="28"/>
        </w:rPr>
      </w:pPr>
      <w:r>
        <w:rPr>
          <w:rFonts w:ascii="黑体" w:eastAsia="黑体"/>
          <w:color w:val="000000"/>
          <w:sz w:val="28"/>
        </w:rPr>
        <w:t xml:space="preserve">  </w:t>
      </w:r>
      <w:r>
        <w:rPr>
          <w:rFonts w:hint="eastAsia" w:ascii="黑体" w:eastAsia="黑体"/>
          <w:color w:val="000000"/>
          <w:sz w:val="28"/>
        </w:rPr>
        <w:t xml:space="preserve">      本规程委托全国电离辐射计量技术委员会负责解释</w:t>
      </w:r>
    </w:p>
    <w:p w14:paraId="6C578C8F"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br w:type="page"/>
      </w:r>
    </w:p>
    <w:p w14:paraId="100C1248">
      <w:pPr>
        <w:pStyle w:val="7"/>
        <w:rPr>
          <w:color w:val="000000"/>
          <w:sz w:val="24"/>
        </w:rPr>
      </w:pPr>
    </w:p>
    <w:p w14:paraId="60720A2F">
      <w:pPr>
        <w:pStyle w:val="7"/>
        <w:rPr>
          <w:color w:val="000000"/>
          <w:sz w:val="24"/>
        </w:rPr>
      </w:pPr>
    </w:p>
    <w:p w14:paraId="6073268F">
      <w:pPr>
        <w:pStyle w:val="7"/>
        <w:rPr>
          <w:color w:val="000000"/>
          <w:sz w:val="24"/>
        </w:rPr>
      </w:pPr>
    </w:p>
    <w:p w14:paraId="4AE9F737">
      <w:pPr>
        <w:pStyle w:val="7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本规程主要起草人：</w:t>
      </w:r>
    </w:p>
    <w:p w14:paraId="33C5A50A">
      <w:pPr>
        <w:pStyle w:val="7"/>
        <w:ind w:firstLine="840" w:firstLineChars="300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范富有（中国计量科学研究院）</w:t>
      </w:r>
    </w:p>
    <w:p w14:paraId="220287C1">
      <w:pPr>
        <w:pStyle w:val="7"/>
        <w:ind w:firstLine="840" w:firstLineChars="300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刘皓然（中国计量科学研究院）</w:t>
      </w:r>
    </w:p>
    <w:p w14:paraId="79551056">
      <w:pPr>
        <w:pStyle w:val="7"/>
        <w:ind w:firstLine="840" w:firstLineChars="300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姚顺和（中国原子能科学研究院）</w:t>
      </w:r>
    </w:p>
    <w:p w14:paraId="40721AD2">
      <w:pPr>
        <w:pStyle w:val="7"/>
        <w:ind w:firstLine="840" w:firstLineChars="300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何林锋(上海市计量测试技术研究院)</w:t>
      </w:r>
    </w:p>
    <w:p w14:paraId="02646761">
      <w:pPr>
        <w:pStyle w:val="7"/>
        <w:ind w:firstLine="840" w:firstLineChars="300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唐方东 (上海市计量测试技术研究院)</w:t>
      </w:r>
    </w:p>
    <w:p w14:paraId="7EB8F5BE">
      <w:pPr>
        <w:pStyle w:val="7"/>
        <w:ind w:firstLine="840" w:firstLineChars="300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 xml:space="preserve">王攀峰（河南省计量科学研究院） </w:t>
      </w:r>
    </w:p>
    <w:p w14:paraId="49C052F7">
      <w:pPr>
        <w:pStyle w:val="7"/>
        <w:ind w:firstLine="840" w:firstLineChars="300"/>
        <w:rPr>
          <w:rFonts w:hint="eastAsia" w:ascii="黑体" w:eastAsia="黑体"/>
          <w:color w:val="000000"/>
          <w:sz w:val="28"/>
        </w:rPr>
      </w:pPr>
      <w:r>
        <w:rPr>
          <w:rFonts w:hint="eastAsia" w:ascii="黑体" w:eastAsia="黑体"/>
          <w:color w:val="000000"/>
          <w:sz w:val="28"/>
        </w:rPr>
        <w:t>杨柳（原子高科股份有限公司）</w:t>
      </w:r>
    </w:p>
    <w:p w14:paraId="2474B2D1">
      <w:pPr>
        <w:pStyle w:val="7"/>
        <w:rPr>
          <w:rFonts w:hint="eastAsia" w:ascii="黑体" w:eastAsia="黑体"/>
          <w:color w:val="000000"/>
          <w:sz w:val="28"/>
        </w:rPr>
      </w:pPr>
    </w:p>
    <w:p w14:paraId="619A584E">
      <w:pPr>
        <w:pStyle w:val="7"/>
        <w:rPr>
          <w:rFonts w:ascii="黑体" w:eastAsia="黑体"/>
          <w:color w:val="000000"/>
          <w:sz w:val="28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752" w:bottom="1440" w:left="1752" w:header="851" w:footer="992" w:gutter="0"/>
          <w:pgNumType w:fmt="upperRoman" w:start="1"/>
          <w:cols w:space="720" w:num="1"/>
          <w:titlePg/>
          <w:docGrid w:linePitch="312" w:charSpace="0"/>
        </w:sectPr>
      </w:pPr>
      <w:r>
        <w:rPr>
          <w:rFonts w:hint="eastAsia" w:ascii="黑体" w:eastAsia="黑体"/>
          <w:color w:val="000000"/>
          <w:sz w:val="28"/>
        </w:rPr>
        <w:t xml:space="preserve">参加起草人：     </w:t>
      </w:r>
    </w:p>
    <w:p w14:paraId="3C5BE6D0">
      <w:pPr>
        <w:pStyle w:val="7"/>
        <w:ind w:firstLine="630" w:firstLineChars="300"/>
        <w:rPr>
          <w:rFonts w:ascii="黑体" w:eastAsia="黑体"/>
          <w:color w:val="000000"/>
          <w:sz w:val="28"/>
        </w:rPr>
      </w:pP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rFonts w:hint="eastAsia" w:ascii="黑体" w:eastAsia="黑体"/>
          <w:color w:val="000000"/>
          <w:sz w:val="28"/>
          <w:lang w:val="en-US" w:eastAsia="zh-CN"/>
        </w:rPr>
        <w:t>刘傲然</w:t>
      </w:r>
      <w:r>
        <w:rPr>
          <w:rFonts w:hint="eastAsia" w:ascii="黑体" w:eastAsia="黑体"/>
          <w:color w:val="000000"/>
          <w:sz w:val="28"/>
        </w:rPr>
        <w:t xml:space="preserve"> （中国计量科学研究院）</w:t>
      </w:r>
    </w:p>
    <w:p w14:paraId="58B66FC5">
      <w:pPr>
        <w:pStyle w:val="7"/>
        <w:rPr>
          <w:rFonts w:hint="eastAsia"/>
          <w:color w:val="000000"/>
        </w:rPr>
      </w:pPr>
      <w:r>
        <w:rPr>
          <w:rFonts w:hint="eastAsia" w:ascii="黑体" w:eastAsia="黑体"/>
          <w:color w:val="000000"/>
          <w:sz w:val="28"/>
        </w:rPr>
        <w:t xml:space="preserve"> </w:t>
      </w:r>
      <w:r>
        <w:rPr>
          <w:rFonts w:ascii="黑体" w:eastAsia="黑体"/>
          <w:color w:val="000000"/>
          <w:sz w:val="28"/>
        </w:rPr>
        <w:t xml:space="preserve">     </w:t>
      </w:r>
      <w:r>
        <w:rPr>
          <w:rFonts w:hint="eastAsia" w:ascii="黑体" w:eastAsia="黑体"/>
          <w:color w:val="000000"/>
          <w:sz w:val="28"/>
          <w:lang w:val="en-US" w:eastAsia="zh-CN"/>
        </w:rPr>
        <w:t>张益豪</w:t>
      </w:r>
      <w:r>
        <w:rPr>
          <w:rFonts w:hint="eastAsia" w:ascii="黑体" w:eastAsia="黑体"/>
          <w:color w:val="000000"/>
          <w:sz w:val="28"/>
        </w:rPr>
        <w:t xml:space="preserve"> （</w:t>
      </w:r>
      <w:r>
        <w:rPr>
          <w:rFonts w:hint="eastAsia" w:ascii="黑体" w:eastAsia="黑体"/>
          <w:color w:val="000000"/>
          <w:sz w:val="28"/>
          <w:lang w:val="en-US" w:eastAsia="zh-CN"/>
        </w:rPr>
        <w:t>哈尔滨工程大学</w:t>
      </w:r>
      <w:r>
        <w:rPr>
          <w:rFonts w:hint="eastAsia" w:ascii="黑体" w:eastAsia="黑体"/>
          <w:color w:val="000000"/>
          <w:sz w:val="28"/>
        </w:rPr>
        <w:t>）</w:t>
      </w:r>
    </w:p>
    <w:p w14:paraId="7CCCD058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34BB8F4F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2D2DF67F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09A1A31D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7C9EE47B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34A0D985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1029C469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2F3848D8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44FF1031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2303E7AC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29E4BCDB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226A813E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6EB8ACB7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35136556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43867155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3E10C2C3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4493FA72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3E3FBE66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4E7E6975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3F6D3C54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18D017D7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778C335A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03614C85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1F4FE9AB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581EF608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0C3B3DA9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222D5B41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5E6DE48D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7E615DDE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44231B64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18FF53A2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0C80A9E2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45B7BDFC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0E0AEAA0">
      <w:pPr>
        <w:pStyle w:val="7"/>
        <w:spacing w:line="240" w:lineRule="exact"/>
        <w:jc w:val="center"/>
        <w:rPr>
          <w:rFonts w:hint="eastAsia"/>
          <w:color w:val="000000"/>
        </w:rPr>
      </w:pPr>
    </w:p>
    <w:p w14:paraId="110B8DD6">
      <w:pPr>
        <w:pStyle w:val="7"/>
        <w:spacing w:line="240" w:lineRule="exact"/>
        <w:jc w:val="center"/>
        <w:rPr>
          <w:color w:val="000000"/>
        </w:rPr>
        <w:sectPr>
          <w:headerReference r:id="rId6" w:type="default"/>
          <w:footerReference r:id="rId7" w:type="default"/>
          <w:type w:val="continuous"/>
          <w:pgSz w:w="11906" w:h="16838"/>
          <w:pgMar w:top="1440" w:right="1752" w:bottom="1440" w:left="1752" w:header="851" w:footer="992" w:gutter="0"/>
          <w:pgNumType w:fmt="upperRoman" w:start="1"/>
          <w:cols w:space="720" w:num="1"/>
          <w:titlePg/>
          <w:docGrid w:linePitch="312" w:charSpace="0"/>
        </w:sectPr>
      </w:pPr>
    </w:p>
    <w:p w14:paraId="62723CBD">
      <w:pPr>
        <w:pStyle w:val="7"/>
        <w:jc w:val="center"/>
        <w:rPr>
          <w:rFonts w:ascii="黑体" w:eastAsia="黑体"/>
          <w:color w:val="000000"/>
          <w:sz w:val="32"/>
        </w:rPr>
      </w:pPr>
    </w:p>
    <w:p w14:paraId="173FA5DF">
      <w:pPr>
        <w:pStyle w:val="7"/>
        <w:jc w:val="center"/>
        <w:rPr>
          <w:rFonts w:hint="eastAsia" w:ascii="黑体" w:eastAsia="黑体"/>
          <w:color w:val="000000"/>
          <w:sz w:val="32"/>
        </w:rPr>
      </w:pPr>
    </w:p>
    <w:p w14:paraId="208BBBAC">
      <w:pPr>
        <w:pStyle w:val="7"/>
        <w:jc w:val="center"/>
        <w:rPr>
          <w:rFonts w:hint="eastAsia"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</w:rPr>
        <w:t>目     录</w:t>
      </w:r>
    </w:p>
    <w:sdt>
      <w:sdtPr>
        <w:rPr>
          <w:rFonts w:ascii="宋体" w:hAnsi="宋体" w:eastAsia="宋体" w:cstheme="minorBidi"/>
          <w:kern w:val="2"/>
          <w:sz w:val="21"/>
          <w:szCs w:val="22"/>
          <w:lang w:val="en-US" w:eastAsia="zh-CN" w:bidi="ar-SA"/>
        </w:rPr>
        <w:id w:val="147463089"/>
        <w15:color w:val="DBDBDB"/>
        <w:docPartObj>
          <w:docPartGallery w:val="Table of Contents"/>
          <w:docPartUnique/>
        </w:docPartObj>
      </w:sdtPr>
      <w:sdtEndPr>
        <w:rPr>
          <w:rStyle w:val="14"/>
          <w:rFonts w:hint="eastAsia" w:ascii="Times New Roman" w:hAnsi="Times New Roman" w:eastAsia="宋体" w:cs="Times New Roman"/>
          <w:bCs/>
          <w:kern w:val="2"/>
          <w:sz w:val="24"/>
          <w:szCs w:val="24"/>
          <w:lang w:val="en-US" w:eastAsia="zh-CN" w:bidi="ar-SA"/>
        </w:rPr>
      </w:sdtEndPr>
      <w:sdtContent>
        <w:p w14:paraId="35FD05B0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</w:p>
        <w:p w14:paraId="20D8CB8D">
          <w:pPr>
            <w:pStyle w:val="10"/>
            <w:tabs>
              <w:tab w:val="right" w:leader="dot" w:pos="8392"/>
            </w:tabs>
            <w:spacing w:line="336" w:lineRule="auto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TOC \o "1-2" \h \u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_Toc22651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引言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_Toc22651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2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090C0FC2">
          <w:pPr>
            <w:pStyle w:val="10"/>
            <w:tabs>
              <w:tab w:val="right" w:leader="dot" w:pos="8392"/>
            </w:tabs>
            <w:spacing w:line="336" w:lineRule="auto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_Toc29197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1 范围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_Toc29197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3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135E72CE">
          <w:pPr>
            <w:pStyle w:val="10"/>
            <w:tabs>
              <w:tab w:val="right" w:leader="dot" w:pos="8392"/>
            </w:tabs>
            <w:spacing w:line="336" w:lineRule="auto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_Toc29335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2 引用文献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_Toc29335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3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0F04A502">
          <w:pPr>
            <w:pStyle w:val="10"/>
            <w:tabs>
              <w:tab w:val="right" w:leader="dot" w:pos="8392"/>
            </w:tabs>
            <w:spacing w:line="336" w:lineRule="auto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_Toc17065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3 术语和计量单位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_Toc17065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3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3C00D575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_Toc28944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3.1 术语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_Toc28944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3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00F5D005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_Toc3828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3.2 计量单位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_Toc3828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3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6E4FE674">
          <w:pPr>
            <w:pStyle w:val="10"/>
            <w:tabs>
              <w:tab w:val="right" w:leader="dot" w:pos="8392"/>
            </w:tabs>
            <w:spacing w:line="336" w:lineRule="auto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_Toc27433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4 概述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_Toc27433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4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08330148">
          <w:pPr>
            <w:pStyle w:val="10"/>
            <w:tabs>
              <w:tab w:val="right" w:leader="dot" w:pos="8392"/>
            </w:tabs>
            <w:spacing w:line="336" w:lineRule="auto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_Toc24922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5 计量性能要求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_Toc24922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4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44B9155A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_Toc6411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5.1 本底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_Toc6411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4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6F769DC0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_Toc13087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 xml:space="preserve">5.2 </w: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探测效率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_Toc13087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4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56DB113C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_Toc12703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5.3 重复性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_Toc12703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4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6647CAEB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_Toc24408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 xml:space="preserve">5.4 </w: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探测效率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的非线性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_Toc24408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4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55D2F37A">
          <w:pPr>
            <w:pStyle w:val="10"/>
            <w:tabs>
              <w:tab w:val="right" w:leader="dot" w:pos="8392"/>
            </w:tabs>
            <w:spacing w:line="336" w:lineRule="auto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_Toc27698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6 通用技术要求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_Toc27698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4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6C887A2C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_Toc3715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6.1 外观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_Toc3715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4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3DBFE00D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_Toc27686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6.2 机械特性及电气安全特性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_Toc27686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4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7F66D2A7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_Toc26604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6.3 测量室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_Toc26604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5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2A2EFC29">
          <w:pPr>
            <w:pStyle w:val="10"/>
            <w:tabs>
              <w:tab w:val="right" w:leader="dot" w:pos="8392"/>
            </w:tabs>
            <w:spacing w:line="336" w:lineRule="auto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_Toc20285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7 计量器具控制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_Toc20285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5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6B1F1211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_Toc32588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7.1 检定条件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_Toc32588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5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73CCD5E0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_Toc6987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7.2 检定项目和检定方法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_Toc6987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5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12115BD8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_Toc26685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7.3 检定结果的处理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_Toc26685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7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0BA5361D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_Toc28230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7.4 检定周期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_Toc28230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8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7BAC5C95">
          <w:pPr>
            <w:pStyle w:val="10"/>
            <w:tabs>
              <w:tab w:val="right" w:leader="dot" w:pos="8392"/>
            </w:tabs>
            <w:spacing w:line="336" w:lineRule="auto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_Toc26238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附录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_Toc26238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9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1E115FAF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_Toc11281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1 检定条件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_Toc11281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9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6C712828">
          <w:pPr>
            <w:pStyle w:val="10"/>
            <w:tabs>
              <w:tab w:val="right" w:leader="dot" w:pos="8392"/>
            </w:tabs>
            <w:spacing w:line="336" w:lineRule="auto"/>
            <w:ind w:firstLine="482" w:firstLineChars="200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_Toc10519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2 检定结果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_Toc10519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9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1776627E">
          <w:pPr>
            <w:pStyle w:val="10"/>
            <w:tabs>
              <w:tab w:val="right" w:leader="dot" w:pos="8392"/>
            </w:tabs>
            <w:spacing w:line="336" w:lineRule="auto"/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instrText xml:space="preserve"> HYPERLINK \l _Toc32635 </w:instrText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t>二、检定原始记录格式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ab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begin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instrText xml:space="preserve"> PAGEREF _Toc32635 \h </w:instrTex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separate"/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t>9</w:t>
          </w:r>
          <w:r>
            <w:rPr>
              <w:rStyle w:val="14"/>
              <w:rFonts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  <w:p w14:paraId="30F3620A">
          <w:pPr>
            <w:pStyle w:val="10"/>
            <w:tabs>
              <w:tab w:val="right" w:leader="dot" w:pos="8392"/>
            </w:tabs>
            <w:spacing w:line="336" w:lineRule="auto"/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  <w:lang w:val="en-US" w:eastAsia="zh-CN"/>
            </w:rPr>
          </w:pPr>
          <w:r>
            <w:rPr>
              <w:rStyle w:val="14"/>
              <w:rFonts w:hint="eastAsia" w:ascii="Times New Roman" w:hAnsi="Times New Roman" w:eastAsia="宋体" w:cs="Times New Roman"/>
              <w:bCs/>
              <w:sz w:val="24"/>
              <w:szCs w:val="24"/>
            </w:rPr>
            <w:fldChar w:fldCharType="end"/>
          </w:r>
        </w:p>
      </w:sdtContent>
    </w:sdt>
    <w:p w14:paraId="75CD60AA">
      <w:pPr>
        <w:widowControl/>
        <w:jc w:val="left"/>
        <w:rPr>
          <w:rFonts w:ascii="Times New Roman" w:hAnsi="Times New Roman" w:eastAsia="宋体"/>
          <w:sz w:val="30"/>
          <w:szCs w:val="30"/>
        </w:rPr>
      </w:pPr>
      <w:r>
        <w:rPr>
          <w:rFonts w:ascii="Times New Roman" w:hAnsi="Times New Roman" w:eastAsia="宋体"/>
          <w:sz w:val="30"/>
          <w:szCs w:val="30"/>
        </w:rPr>
        <w:br w:type="page"/>
      </w:r>
    </w:p>
    <w:p w14:paraId="3DC1CFC8">
      <w:pPr>
        <w:pStyle w:val="2"/>
        <w:snapToGrid w:val="0"/>
        <w:spacing w:line="360" w:lineRule="auto"/>
        <w:ind w:firstLine="0"/>
        <w:jc w:val="center"/>
        <w:rPr>
          <w:rFonts w:hint="eastAsia" w:ascii="黑体" w:eastAsia="黑体"/>
          <w:b/>
          <w:bCs/>
          <w:color w:val="000000"/>
          <w:sz w:val="44"/>
          <w:szCs w:val="44"/>
        </w:rPr>
      </w:pPr>
      <w:bookmarkStart w:id="0" w:name="_Toc178179420"/>
      <w:bookmarkStart w:id="1" w:name="_Toc22651"/>
      <w:bookmarkStart w:id="2" w:name="_Toc178179619"/>
      <w:r>
        <w:rPr>
          <w:rFonts w:hint="eastAsia" w:ascii="黑体" w:eastAsia="黑体"/>
          <w:b/>
          <w:bCs/>
          <w:color w:val="000000"/>
          <w:sz w:val="44"/>
          <w:szCs w:val="44"/>
        </w:rPr>
        <w:t>引言</w:t>
      </w:r>
      <w:bookmarkEnd w:id="0"/>
      <w:bookmarkEnd w:id="1"/>
      <w:bookmarkEnd w:id="2"/>
    </w:p>
    <w:p w14:paraId="5A6961F5">
      <w:pPr>
        <w:pStyle w:val="7"/>
        <w:spacing w:line="360" w:lineRule="auto"/>
        <w:ind w:right="-103"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本规程JJG ***-20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**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《γ放射免疫计数器》的修订工作遵循了国家计量技术规范的编写规则，主要依据JJF 1002—2010《国家计量检定规程编写规则》、JJF 1001—2011《通用计量术语及定义》和JJF 1059.1—2012《测量不确定度评定与表示》等基础性系列规范进行。本规程的修订旨在更新和完善γ放射免疫计数器的计量性能要求、技术规范和检定方法，以适应当前技术发展和实际应用的需求。</w:t>
      </w:r>
    </w:p>
    <w:p w14:paraId="64F95543">
      <w:pPr>
        <w:pStyle w:val="7"/>
        <w:spacing w:line="360" w:lineRule="auto"/>
        <w:ind w:right="-103" w:firstLine="480" w:firstLineChars="200"/>
        <w:jc w:val="both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JJG ***-2022《γ放射免疫计数器》检定规程的修订，主要参考了GB/T 10255-1996《γ放射免疫计数器》和最新的国家标准GB/T 10255-2013《γ放射免疫计数器》。与JJG 969-2002相比，除编辑性修改外，主要技术变化如下：</w:t>
      </w:r>
    </w:p>
    <w:p w14:paraId="5EEFE908">
      <w:pPr>
        <w:pStyle w:val="7"/>
        <w:spacing w:line="360" w:lineRule="auto"/>
        <w:ind w:right="-103" w:firstLine="480" w:firstLineChars="200"/>
        <w:jc w:val="both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—— 扩展了规程的适用范围，以包含单探头和多探头的γ放射免疫计数器的首次检定、后续检定和使用中检验（见1）；</w:t>
      </w:r>
    </w:p>
    <w:p w14:paraId="0092378C">
      <w:pPr>
        <w:pStyle w:val="7"/>
        <w:spacing w:line="360" w:lineRule="auto"/>
        <w:ind w:right="-103"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—— 更新了术语和计量单位，以符合最新的计量学实践和国际标准（见3）；</w:t>
      </w:r>
    </w:p>
    <w:p w14:paraId="68B7B49C">
      <w:pPr>
        <w:pStyle w:val="7"/>
        <w:spacing w:line="360" w:lineRule="auto"/>
        <w:ind w:right="-103"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—— 提高了对本底计数率的要求，以确保新制造和使用中的放免计数器的本底计数率分别小于80计数/min和100计数/min（见5.1）；</w:t>
      </w:r>
    </w:p>
    <w:p w14:paraId="685979EF">
      <w:pPr>
        <w:pStyle w:val="7"/>
        <w:spacing w:line="360" w:lineRule="auto"/>
        <w:ind w:right="-103"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—— 细化了对放免计数器的探测效率、重复性和非线性的要求，并提供了具体的检定方法（见5.2、5.3和5.4）；</w:t>
      </w:r>
    </w:p>
    <w:p w14:paraId="76FCD164">
      <w:pPr>
        <w:pStyle w:val="7"/>
        <w:spacing w:line="360" w:lineRule="auto"/>
        <w:ind w:right="-103"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—— 强化了对计量标准器的要求，包括对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vertAlign w:val="superscript"/>
          <w:lang w:val="en-US" w:eastAsia="zh-CN"/>
        </w:rPr>
        <w:t>125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I核素或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vertAlign w:val="superscript"/>
          <w:lang w:val="en-US" w:eastAsia="zh-CN"/>
        </w:rPr>
        <w:t>129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I核素γ标准源的活度范围和扩展不确定度的规定（见7.1.1）；</w:t>
      </w:r>
    </w:p>
    <w:p w14:paraId="61D17EEA">
      <w:pPr>
        <w:pStyle w:val="7"/>
        <w:spacing w:line="360" w:lineRule="auto"/>
        <w:ind w:right="-103"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—— 增加了对放免计数器测量室的要求，确保其无放射性污染且易于去污（见6.3）；</w:t>
      </w:r>
    </w:p>
    <w:p w14:paraId="3E87BB9B">
      <w:pPr>
        <w:pStyle w:val="7"/>
        <w:spacing w:line="360" w:lineRule="auto"/>
        <w:ind w:right="-103"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—— 补充了检定证书和原始记录的格式，以规范检定结果的记录和报告（见附录）。</w:t>
      </w:r>
    </w:p>
    <w:p w14:paraId="39A30106">
      <w:pPr>
        <w:pStyle w:val="7"/>
        <w:spacing w:line="360" w:lineRule="auto"/>
        <w:ind w:right="-103"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JJG 969-2002的历次版本发布情况为：</w:t>
      </w:r>
    </w:p>
    <w:p w14:paraId="73B3FE68">
      <w:pPr>
        <w:pStyle w:val="7"/>
        <w:spacing w:line="360" w:lineRule="auto"/>
        <w:ind w:right="-103" w:firstLine="480" w:firstLineChars="200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—— JJG 969-2002。</w:t>
      </w:r>
    </w:p>
    <w:p w14:paraId="60448BB2">
      <w:pPr>
        <w:pStyle w:val="7"/>
        <w:spacing w:line="360" w:lineRule="auto"/>
        <w:ind w:right="-103" w:firstLine="480" w:firstLineChars="200"/>
        <w:rPr>
          <w:rFonts w:hint="default" w:ascii="Times New Roman" w:hAnsi="Times New Roman" w:eastAsia="宋体" w:cs="Times New Roman"/>
          <w:color w:val="000000"/>
          <w:kern w:val="2"/>
          <w:sz w:val="32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本规程的修订旨在确保γ放射免疫计数器的计量性能和检定质量，以满足临床核医学和放射免疫分析等领域的精确测量需求。通过这些更新，本规程将为γ放射免疫计数器的检定和使用提供更加科学、准确的指导。</w:t>
      </w:r>
      <w:r>
        <w:rPr>
          <w:rFonts w:hint="default" w:ascii="Times New Roman" w:hAnsi="Times New Roman" w:eastAsia="宋体" w:cs="Times New Roman"/>
          <w:color w:val="000000"/>
          <w:kern w:val="2"/>
          <w:sz w:val="32"/>
          <w:szCs w:val="20"/>
          <w:lang w:val="en-US" w:eastAsia="zh-CN" w:bidi="ar-SA"/>
        </w:rPr>
        <w:br w:type="page"/>
      </w:r>
    </w:p>
    <w:p w14:paraId="3440A8EA">
      <w:pPr>
        <w:jc w:val="center"/>
        <w:rPr>
          <w:rFonts w:hint="eastAsia" w:ascii="Times New Roman" w:hAnsi="Times New Roman" w:eastAsia="宋体" w:cs="Times New Roman"/>
          <w:color w:val="000000"/>
          <w:kern w:val="2"/>
          <w:sz w:val="32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000000"/>
          <w:kern w:val="2"/>
          <w:sz w:val="32"/>
          <w:szCs w:val="20"/>
          <w:lang w:val="en-US" w:eastAsia="zh-CN" w:bidi="ar-SA"/>
        </w:rPr>
        <w:t>γ</w:t>
      </w:r>
      <w:r>
        <w:rPr>
          <w:rFonts w:hint="eastAsia" w:ascii="Times New Roman" w:hAnsi="Times New Roman" w:eastAsia="宋体" w:cs="Times New Roman"/>
          <w:color w:val="000000"/>
          <w:kern w:val="2"/>
          <w:sz w:val="32"/>
          <w:szCs w:val="20"/>
          <w:lang w:val="en-US" w:eastAsia="zh-CN" w:bidi="ar-SA"/>
        </w:rPr>
        <w:t>放射免疫计数器检定规程</w:t>
      </w:r>
    </w:p>
    <w:p w14:paraId="3137765C">
      <w:pPr>
        <w:pStyle w:val="2"/>
        <w:snapToGrid w:val="0"/>
        <w:spacing w:before="240" w:beforeLines="100" w:after="240" w:afterLines="100" w:line="360" w:lineRule="auto"/>
        <w:ind w:firstLine="0"/>
        <w:jc w:val="both"/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</w:pPr>
      <w:bookmarkStart w:id="3" w:name="_Toc29197"/>
      <w:r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  <w:t>1 范围</w:t>
      </w:r>
      <w:bookmarkEnd w:id="3"/>
    </w:p>
    <w:p w14:paraId="37C486BB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本规程适用于单探头和多探头的γ放射免疫计数器的首次检定、后续检定和使用中检验。计数率范围为 3000/min~200000/min，常用核素为I-125。</w:t>
      </w:r>
    </w:p>
    <w:p w14:paraId="09718F93">
      <w:pPr>
        <w:pStyle w:val="2"/>
        <w:snapToGrid w:val="0"/>
        <w:spacing w:before="240" w:beforeLines="100" w:after="240" w:afterLines="100" w:line="360" w:lineRule="auto"/>
        <w:ind w:firstLine="0"/>
        <w:jc w:val="both"/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</w:pPr>
      <w:bookmarkStart w:id="4" w:name="_Toc29335"/>
      <w:r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  <w:t>2 引用文献</w:t>
      </w:r>
      <w:bookmarkEnd w:id="4"/>
    </w:p>
    <w:p w14:paraId="649DB37F">
      <w:pPr>
        <w:pStyle w:val="7"/>
        <w:tabs>
          <w:tab w:val="left" w:pos="0"/>
        </w:tabs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本规程引用下列文献:</w:t>
      </w:r>
    </w:p>
    <w:p w14:paraId="55B5A463">
      <w:pPr>
        <w:pStyle w:val="7"/>
        <w:tabs>
          <w:tab w:val="left" w:pos="0"/>
        </w:tabs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 xml:space="preserve">GB/T 10255-2013《γ放射免疫计数器》 </w:t>
      </w:r>
    </w:p>
    <w:p w14:paraId="59D2365C">
      <w:pPr>
        <w:pStyle w:val="7"/>
        <w:tabs>
          <w:tab w:val="left" w:pos="0"/>
        </w:tabs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GB/T 4960.6-2008《核科学技术术语 第6部分：核仪器仪表》</w:t>
      </w:r>
    </w:p>
    <w:p w14:paraId="48FC2125">
      <w:pPr>
        <w:pStyle w:val="7"/>
        <w:tabs>
          <w:tab w:val="left" w:pos="0"/>
        </w:tabs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GB/T 4078-2008 《放射性测量用样品托盘、瓶子和试管的尺寸》</w:t>
      </w:r>
    </w:p>
    <w:p w14:paraId="50E7E834">
      <w:pPr>
        <w:pStyle w:val="7"/>
        <w:tabs>
          <w:tab w:val="left" w:pos="0"/>
        </w:tabs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使用本规程时，应注意使用上述引用文献的现行有效版本。</w:t>
      </w:r>
    </w:p>
    <w:p w14:paraId="6BC3E310">
      <w:pPr>
        <w:pStyle w:val="2"/>
        <w:snapToGrid w:val="0"/>
        <w:spacing w:before="240" w:beforeLines="100" w:after="240" w:afterLines="100" w:line="360" w:lineRule="auto"/>
        <w:ind w:firstLine="0"/>
        <w:jc w:val="both"/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</w:pPr>
      <w:bookmarkStart w:id="5" w:name="_Toc17065"/>
      <w:r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  <w:t>3 术语和计量单位</w:t>
      </w:r>
      <w:bookmarkEnd w:id="5"/>
    </w:p>
    <w:p w14:paraId="54EAC44A">
      <w:pPr>
        <w:pStyle w:val="3"/>
        <w:snapToGrid w:val="0"/>
        <w:spacing w:line="360" w:lineRule="auto"/>
        <w:rPr>
          <w:rFonts w:hint="eastAsia" w:ascii="Times New Roman" w:hAnsi="Times New Roman" w:eastAsia="宋体" w:cs="Times New Roman"/>
          <w:b/>
          <w:color w:val="000000"/>
          <w:sz w:val="24"/>
          <w:szCs w:val="24"/>
        </w:rPr>
      </w:pPr>
      <w:bookmarkStart w:id="6" w:name="_Toc28944"/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</w:rPr>
        <w:t>3.1 术语</w:t>
      </w:r>
      <w:bookmarkEnd w:id="6"/>
    </w:p>
    <w:p w14:paraId="4D791EE0">
      <w:pPr>
        <w:pStyle w:val="6"/>
        <w:snapToGrid w:val="0"/>
        <w:spacing w:after="0" w:line="360" w:lineRule="auto"/>
        <w:ind w:left="0" w:leftChars="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3.1.1 放射免疫分析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radioimmunoassayAnalysis</w:t>
      </w:r>
    </w:p>
    <w:p w14:paraId="3AA26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利用放射性核素标记的抗原与有限量的相应抗体的特异性结合反应，定量测定待测物质浓度的一种微量分析方法。</w:t>
      </w:r>
    </w:p>
    <w:p w14:paraId="32D514D4">
      <w:pPr>
        <w:pStyle w:val="6"/>
        <w:snapToGrid w:val="0"/>
        <w:spacing w:after="0" w:line="360" w:lineRule="auto"/>
        <w:ind w:left="0" w:leftChars="0"/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3.1.2 探测效率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detection efficency</w:t>
      </w:r>
    </w:p>
    <w:p w14:paraId="6DB2F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γ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计数器的测量值与被测检查源活度之间的关系。</w:t>
      </w:r>
    </w:p>
    <w:p w14:paraId="64A019F3">
      <w:pPr>
        <w:pStyle w:val="3"/>
        <w:snapToGrid w:val="0"/>
        <w:spacing w:line="360" w:lineRule="auto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bookmarkStart w:id="7" w:name="_Toc3828"/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3.2 计量单位</w:t>
      </w:r>
      <w:bookmarkEnd w:id="7"/>
    </w:p>
    <w:p w14:paraId="2FFE5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探测效率的符号:E</w:t>
      </w: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，计量单位: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%</w:t>
      </w:r>
    </w:p>
    <w:p w14:paraId="545D4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本底的符号:C，计量单位: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计数/</w:t>
      </w: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min;</w:t>
      </w:r>
    </w:p>
    <w:p w14:paraId="6D106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重复性的符号:S，计量单位:无量纲:</w:t>
      </w:r>
    </w:p>
    <w:p w14:paraId="5BE5F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探测效率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非线性的符号</w:t>
      </w:r>
      <w:r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:L，计量单位:无量纲。</w:t>
      </w:r>
    </w:p>
    <w:p w14:paraId="55080B1E">
      <w:pPr>
        <w:pStyle w:val="2"/>
        <w:snapToGrid w:val="0"/>
        <w:spacing w:before="240" w:beforeLines="100" w:after="240" w:afterLines="100" w:line="360" w:lineRule="auto"/>
        <w:ind w:firstLine="0"/>
        <w:jc w:val="both"/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</w:pPr>
      <w:bookmarkStart w:id="8" w:name="_Toc27433"/>
      <w:r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  <w:t>4 概述</w:t>
      </w:r>
      <w:bookmarkEnd w:id="8"/>
    </w:p>
    <w:p w14:paraId="12805884">
      <w:pPr>
        <w:spacing w:line="360" w:lineRule="auto"/>
        <w:ind w:right="-71" w:rightChars="-34" w:firstLine="482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放射免疫计数器（以下简称为“放免计数器”）主要由探头、计数装置和数据处理系统组成。NaI（Tl）晶体与光电倍增管构成的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辐射探测器将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辐射转换成电信号，经电子学线路处理，通过计数装置读出，或输入数据处理系统。放免计数器在放射免疫分析中用于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放射性核素活度的测定，是临床核医学工作中重要的分析测量仪器。</w:t>
      </w:r>
    </w:p>
    <w:p w14:paraId="4716C885">
      <w:pPr>
        <w:pStyle w:val="2"/>
        <w:snapToGrid w:val="0"/>
        <w:spacing w:before="240" w:beforeLines="100" w:after="240" w:afterLines="100" w:line="360" w:lineRule="auto"/>
        <w:ind w:firstLine="0"/>
        <w:jc w:val="both"/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</w:pPr>
      <w:bookmarkStart w:id="9" w:name="_Toc24922"/>
      <w:r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  <w:t>5 计量性能要求</w:t>
      </w:r>
      <w:bookmarkEnd w:id="9"/>
    </w:p>
    <w:p w14:paraId="501773D4">
      <w:pPr>
        <w:pStyle w:val="3"/>
        <w:snapToGrid w:val="0"/>
        <w:spacing w:line="360" w:lineRule="auto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bookmarkStart w:id="10" w:name="_Toc6411"/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5.1 本底</w:t>
      </w:r>
      <w:bookmarkEnd w:id="10"/>
    </w:p>
    <w:p w14:paraId="154A5D6F">
      <w:pPr>
        <w:snapToGrid w:val="0"/>
        <w:spacing w:line="360" w:lineRule="auto"/>
        <w:ind w:firstLine="360" w:firstLineChars="150"/>
        <w:rPr>
          <w:rFonts w:hint="default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首次检定时，新制造的放免计数器的本底计数率应小于</w:t>
      </w:r>
      <w:r>
        <w:rPr>
          <w:rFonts w:hint="default" w:ascii="Times New Roman" w:hAnsi="Times New Roman" w:eastAsia="宋体" w:cs="Times New Roman"/>
          <w:color w:val="000000"/>
          <w:sz w:val="24"/>
          <w:szCs w:val="20"/>
          <w:lang w:val="en-US" w:eastAsia="zh-CN"/>
        </w:rPr>
        <w:t>80计数/min，使用中的放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免计数器的本底计数率应小于</w:t>
      </w:r>
      <w:r>
        <w:rPr>
          <w:rFonts w:hint="default" w:ascii="Times New Roman" w:hAnsi="Times New Roman" w:eastAsia="宋体" w:cs="Times New Roman"/>
          <w:color w:val="000000"/>
          <w:sz w:val="24"/>
          <w:szCs w:val="20"/>
          <w:lang w:val="en-US" w:eastAsia="zh-CN"/>
        </w:rPr>
        <w:t>100计数/min。</w:t>
      </w:r>
    </w:p>
    <w:p w14:paraId="60EF2ADD">
      <w:pPr>
        <w:snapToGrid w:val="0"/>
        <w:spacing w:line="360" w:lineRule="auto"/>
        <w:ind w:firstLine="360" w:firstLineChars="150"/>
        <w:rPr>
          <w:rFonts w:hint="default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后续检定和使用中检验时，放免计数器的本底计数率应小于</w:t>
      </w:r>
      <w:r>
        <w:rPr>
          <w:rFonts w:hint="default" w:ascii="Times New Roman" w:hAnsi="Times New Roman" w:eastAsia="宋体" w:cs="Times New Roman"/>
          <w:color w:val="000000"/>
          <w:sz w:val="24"/>
          <w:szCs w:val="20"/>
          <w:lang w:val="en-US" w:eastAsia="zh-CN"/>
        </w:rPr>
        <w:t>100计数/min。</w:t>
      </w:r>
    </w:p>
    <w:p w14:paraId="3F3BA332">
      <w:pPr>
        <w:pStyle w:val="3"/>
        <w:snapToGrid w:val="0"/>
        <w:spacing w:line="360" w:lineRule="auto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bookmarkStart w:id="11" w:name="_Toc13087"/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 xml:space="preserve">5.2 </w:t>
      </w:r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</w:rPr>
        <w:t>探测效率</w:t>
      </w:r>
      <w:bookmarkEnd w:id="11"/>
    </w:p>
    <w:p w14:paraId="4EA9BC80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在</w:t>
      </w:r>
      <w:r>
        <w:rPr>
          <w:rFonts w:hint="default" w:ascii="Times New Roman" w:hAnsi="Times New Roman" w:eastAsia="宋体" w:cs="Times New Roman"/>
          <w:color w:val="000000"/>
          <w:sz w:val="24"/>
          <w:szCs w:val="20"/>
          <w:lang w:val="en-US" w:eastAsia="zh-CN"/>
        </w:rPr>
        <w:t>（20±5）℃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时放免计数器对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vertAlign w:val="superscript"/>
          <w:lang w:val="en-US" w:eastAsia="zh-CN"/>
        </w:rPr>
        <w:t>125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I核素或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vertAlign w:val="superscript"/>
          <w:lang w:val="en-US" w:eastAsia="zh-CN"/>
        </w:rPr>
        <w:t>129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I核素的探测效率应不低于70%。</w:t>
      </w:r>
    </w:p>
    <w:p w14:paraId="0D9E6536">
      <w:pPr>
        <w:pStyle w:val="3"/>
        <w:snapToGrid w:val="0"/>
        <w:spacing w:line="360" w:lineRule="auto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bookmarkStart w:id="12" w:name="_Toc12703"/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5.3 重复性</w:t>
      </w:r>
      <w:bookmarkEnd w:id="12"/>
    </w:p>
    <w:p w14:paraId="109D90B4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highlight w:val="none"/>
          <w:lang w:val="en-US" w:eastAsia="zh-CN"/>
        </w:rPr>
        <w:t>放免计数器在其测量范围内，对同一被测样品连续测量10次，单次测量的相对标准偏差应不超过2%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。</w:t>
      </w:r>
    </w:p>
    <w:p w14:paraId="07C4FE55">
      <w:pPr>
        <w:pStyle w:val="3"/>
        <w:snapToGrid w:val="0"/>
        <w:spacing w:line="360" w:lineRule="auto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bookmarkStart w:id="13" w:name="_Toc24408"/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 xml:space="preserve">5.4 </w:t>
      </w:r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</w:rPr>
        <w:t>探测效率</w:t>
      </w:r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的非线性</w:t>
      </w:r>
      <w:bookmarkEnd w:id="13"/>
    </w:p>
    <w:p w14:paraId="6684195E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放免计数器在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vertAlign w:val="superscript"/>
          <w:lang w:val="en-US" w:eastAsia="zh-CN"/>
        </w:rPr>
        <w:t>125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I能窗范围内，在500 ~ 5×10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vertAlign w:val="superscript"/>
          <w:lang w:val="en-US" w:eastAsia="zh-CN"/>
        </w:rPr>
        <w:t xml:space="preserve">3 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Bq的活度范围内</w:t>
      </w:r>
      <w:r>
        <w:rPr>
          <w:rFonts w:hint="default" w:ascii="Times New Roman" w:hAnsi="Times New Roman" w:eastAsia="宋体" w:cs="Times New Roman"/>
          <w:color w:val="000000"/>
          <w:sz w:val="24"/>
          <w:szCs w:val="20"/>
          <w:lang w:val="en-US" w:eastAsia="zh-CN"/>
        </w:rPr>
        <w:t>γ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计数器探测效率的非线性不应大于8%。</w:t>
      </w:r>
    </w:p>
    <w:p w14:paraId="0DC6AF42">
      <w:pPr>
        <w:pStyle w:val="2"/>
        <w:snapToGrid w:val="0"/>
        <w:spacing w:before="240" w:beforeLines="100" w:after="240" w:afterLines="100" w:line="360" w:lineRule="auto"/>
        <w:ind w:firstLine="0"/>
        <w:jc w:val="both"/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</w:pPr>
      <w:bookmarkStart w:id="14" w:name="_Toc27698"/>
      <w:r>
        <w:rPr>
          <w:rFonts w:hint="eastAsia" w:ascii="Times New Roman" w:hAnsi="Times New Roman" w:eastAsia="宋体" w:cs="Times New Roman"/>
          <w:b/>
          <w:bCs/>
          <w:color w:val="000000"/>
          <w:sz w:val="28"/>
          <w:szCs w:val="28"/>
        </w:rPr>
        <w:t>6 通用技术要求</w:t>
      </w:r>
      <w:bookmarkEnd w:id="14"/>
    </w:p>
    <w:p w14:paraId="1A3E2C41">
      <w:pPr>
        <w:pStyle w:val="3"/>
        <w:snapToGrid w:val="0"/>
        <w:spacing w:line="360" w:lineRule="auto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bookmarkStart w:id="15" w:name="_Toc3715"/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6.1 外观</w:t>
      </w:r>
      <w:bookmarkEnd w:id="15"/>
    </w:p>
    <w:p w14:paraId="5E3472B5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放免计数器上必须有制造厂、型号、编号、国产仪器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highlight w:val="none"/>
          <w:lang w:val="en-US" w:eastAsia="zh-CN"/>
        </w:rPr>
        <w:t>应有</w:t>
      </w: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出厂日期等清晰标记，并附有使用说明书及上次检定证书，初检时应附有出厂检验证书。</w:t>
      </w:r>
    </w:p>
    <w:p w14:paraId="1D217355">
      <w:pPr>
        <w:pStyle w:val="3"/>
        <w:snapToGrid w:val="0"/>
        <w:spacing w:line="360" w:lineRule="auto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bookmarkStart w:id="16" w:name="_Toc27686"/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6.2 机械特性及电气安全特性</w:t>
      </w:r>
      <w:bookmarkEnd w:id="16"/>
    </w:p>
    <w:p w14:paraId="275234BC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放免计数器的机械特性及电气安全特性应符合GB10255-2013的要求。</w:t>
      </w:r>
    </w:p>
    <w:p w14:paraId="17BDD442">
      <w:pPr>
        <w:pStyle w:val="3"/>
        <w:snapToGrid w:val="0"/>
        <w:spacing w:line="360" w:lineRule="auto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bookmarkStart w:id="17" w:name="_Toc26604"/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6.3 测量室</w:t>
      </w:r>
      <w:bookmarkEnd w:id="17"/>
    </w:p>
    <w:p w14:paraId="04D754D4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放免计数器的测量室应无放射性污染且易于去污。</w:t>
      </w:r>
    </w:p>
    <w:p w14:paraId="4677BF43">
      <w:pPr>
        <w:pStyle w:val="3"/>
        <w:snapToGrid w:val="0"/>
        <w:spacing w:line="360" w:lineRule="auto"/>
        <w:outlineLvl w:val="0"/>
        <w:rPr>
          <w:rFonts w:hint="eastAsia" w:ascii="Times New Roman" w:hAnsi="Times New Roman" w:eastAsia="宋体" w:cs="Times New Roman"/>
          <w:b/>
          <w:color w:val="000000"/>
          <w:sz w:val="24"/>
          <w:szCs w:val="24"/>
        </w:rPr>
      </w:pPr>
      <w:bookmarkStart w:id="18" w:name="_Toc20285"/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</w:rPr>
        <w:t>7 计量器具控制</w:t>
      </w:r>
      <w:bookmarkEnd w:id="18"/>
    </w:p>
    <w:p w14:paraId="610685D6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计量器具控制包括：首次检定、后续检定和使用中检验。</w:t>
      </w:r>
    </w:p>
    <w:p w14:paraId="7AF14561">
      <w:pPr>
        <w:pStyle w:val="3"/>
        <w:snapToGrid w:val="0"/>
        <w:spacing w:line="360" w:lineRule="auto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bookmarkStart w:id="19" w:name="_Toc32588"/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7.1 检定条件</w:t>
      </w:r>
      <w:bookmarkEnd w:id="19"/>
    </w:p>
    <w:p w14:paraId="14FF847D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7.1.1 计量标准器</w:t>
      </w:r>
    </w:p>
    <w:p w14:paraId="298A78C4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7.1.1.1 活度标准为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125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I核素或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129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I核素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γ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标准源。</w:t>
      </w:r>
    </w:p>
    <w:p w14:paraId="4047CA60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7.1.1.2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γ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标准源的活度范围为5×10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Bq。</w:t>
      </w:r>
    </w:p>
    <w:p w14:paraId="1D2B902E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7.1.1.3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γ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标准源的扩展不确定度≤5%(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k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=3)。</w:t>
      </w:r>
    </w:p>
    <w:p w14:paraId="4E5B19F8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7.1.1.4 标准源容器（试管）的尺寸应符合表1的规定。</w:t>
      </w:r>
    </w:p>
    <w:p w14:paraId="17B9852B">
      <w:pPr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color w:val="000000"/>
          <w:szCs w:val="21"/>
        </w:rPr>
      </w:pPr>
      <w:r>
        <w:rPr>
          <w:rFonts w:hint="eastAsia" w:ascii="Times New Roman" w:hAnsi="Times New Roman" w:eastAsia="宋体" w:cs="Times New Roman"/>
          <w:b/>
          <w:color w:val="000000"/>
          <w:szCs w:val="21"/>
        </w:rPr>
        <w:t>表1 试管的尺寸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5"/>
        <w:gridCol w:w="4595"/>
      </w:tblGrid>
      <w:tr w14:paraId="6C9A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3665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 w14:paraId="186ADCAD">
            <w:pPr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外径/mm</w:t>
            </w:r>
          </w:p>
        </w:tc>
        <w:tc>
          <w:tcPr>
            <w:tcW w:w="4595" w:type="dxa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 w14:paraId="6478B3A1">
            <w:pPr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14</w:t>
            </w:r>
          </w:p>
          <w:p w14:paraId="56A0A9B2">
            <w:pPr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±0.5</w:t>
            </w:r>
          </w:p>
        </w:tc>
      </w:tr>
      <w:tr w14:paraId="1724E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65" w:type="dxa"/>
            <w:tcBorders>
              <w:left w:val="single" w:color="auto" w:sz="18" w:space="0"/>
            </w:tcBorders>
            <w:vAlign w:val="center"/>
          </w:tcPr>
          <w:p w14:paraId="0FF4624C">
            <w:pPr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长度/mm</w:t>
            </w:r>
          </w:p>
        </w:tc>
        <w:tc>
          <w:tcPr>
            <w:tcW w:w="4595" w:type="dxa"/>
            <w:tcBorders>
              <w:right w:val="single" w:color="auto" w:sz="18" w:space="0"/>
            </w:tcBorders>
            <w:vAlign w:val="center"/>
          </w:tcPr>
          <w:p w14:paraId="00B2F9EA">
            <w:pPr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对所有的直径</w:t>
            </w:r>
          </w:p>
          <w:p w14:paraId="2D6BAEFD">
            <w:pPr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55±3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75±4</w:t>
            </w:r>
          </w:p>
        </w:tc>
      </w:tr>
      <w:tr w14:paraId="0DA8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65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 w14:paraId="0B4B3175">
            <w:pPr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厚度/mm</w:t>
            </w:r>
          </w:p>
          <w:p w14:paraId="7ED64035">
            <w:pPr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(塑料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95" w:type="dxa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 w14:paraId="1285ABBA">
            <w:pPr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对所有的直径</w:t>
            </w:r>
          </w:p>
          <w:p w14:paraId="7C6A1B59">
            <w:pPr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最小值0.6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最大值1.5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包括公差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14:paraId="170265F8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7.1.2 检定环境条件</w:t>
      </w:r>
    </w:p>
    <w:p w14:paraId="520E96D0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7.1.2.1 环境γ辐射本底：空气中吸收剂量率&lt;0.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25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μGy/h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。</w:t>
      </w:r>
    </w:p>
    <w:p w14:paraId="0B59070C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7.1.2.2 检定时环境温度为（20±5）℃，湿度&lt;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75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%，应保证放免计数器正常工作。</w:t>
      </w:r>
    </w:p>
    <w:p w14:paraId="14BC7A7D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7.1.2.3 电源供电稳定，无外界电磁场、磁感应和机械震动的干扰。</w:t>
      </w:r>
    </w:p>
    <w:p w14:paraId="55587191">
      <w:pPr>
        <w:pStyle w:val="3"/>
        <w:snapToGrid w:val="0"/>
        <w:spacing w:line="360" w:lineRule="auto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bookmarkStart w:id="20" w:name="_Toc6987"/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7.2 检定项目和检定方法</w:t>
      </w:r>
      <w:bookmarkEnd w:id="20"/>
    </w:p>
    <w:p w14:paraId="0906B194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7.2.1 检定项目</w:t>
      </w:r>
    </w:p>
    <w:p w14:paraId="7C737F52">
      <w:pPr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color w:val="000000"/>
          <w:szCs w:val="21"/>
        </w:rPr>
      </w:pPr>
      <w:r>
        <w:rPr>
          <w:rFonts w:hint="eastAsia" w:ascii="Times New Roman" w:hAnsi="Times New Roman" w:eastAsia="宋体" w:cs="Times New Roman"/>
          <w:b/>
          <w:color w:val="000000"/>
          <w:szCs w:val="21"/>
        </w:rPr>
        <w:t>表2 检定项目一览表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1885"/>
        <w:gridCol w:w="2065"/>
        <w:gridCol w:w="2065"/>
      </w:tblGrid>
      <w:tr w14:paraId="48751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 w14:paraId="037DA814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检定项目</w:t>
            </w:r>
          </w:p>
        </w:tc>
        <w:tc>
          <w:tcPr>
            <w:tcW w:w="1885" w:type="dxa"/>
            <w:tcBorders>
              <w:top w:val="single" w:color="auto" w:sz="18" w:space="0"/>
            </w:tcBorders>
            <w:vAlign w:val="center"/>
          </w:tcPr>
          <w:p w14:paraId="06A5C0AA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首次检定</w:t>
            </w:r>
          </w:p>
        </w:tc>
        <w:tc>
          <w:tcPr>
            <w:tcW w:w="2065" w:type="dxa"/>
            <w:tcBorders>
              <w:top w:val="single" w:color="auto" w:sz="18" w:space="0"/>
            </w:tcBorders>
            <w:vAlign w:val="center"/>
          </w:tcPr>
          <w:p w14:paraId="1FDCF27B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后续检定</w:t>
            </w:r>
          </w:p>
        </w:tc>
        <w:tc>
          <w:tcPr>
            <w:tcW w:w="2065" w:type="dxa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 w14:paraId="7A4F1F6A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使用中检验</w:t>
            </w:r>
          </w:p>
        </w:tc>
      </w:tr>
      <w:tr w14:paraId="6B2F4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left w:val="single" w:color="auto" w:sz="18" w:space="0"/>
            </w:tcBorders>
            <w:vAlign w:val="center"/>
          </w:tcPr>
          <w:p w14:paraId="4E26AC0A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本底</w:t>
            </w:r>
          </w:p>
        </w:tc>
        <w:tc>
          <w:tcPr>
            <w:tcW w:w="1885" w:type="dxa"/>
            <w:vAlign w:val="center"/>
          </w:tcPr>
          <w:p w14:paraId="3CA2E462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065" w:type="dxa"/>
            <w:vAlign w:val="center"/>
          </w:tcPr>
          <w:p w14:paraId="50205AE4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065" w:type="dxa"/>
            <w:tcBorders>
              <w:right w:val="single" w:color="auto" w:sz="18" w:space="0"/>
            </w:tcBorders>
            <w:vAlign w:val="center"/>
          </w:tcPr>
          <w:p w14:paraId="044BCE20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+</w:t>
            </w:r>
          </w:p>
        </w:tc>
      </w:tr>
      <w:tr w14:paraId="49715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left w:val="single" w:color="auto" w:sz="18" w:space="0"/>
            </w:tcBorders>
            <w:vAlign w:val="center"/>
          </w:tcPr>
          <w:p w14:paraId="0FCFAFEB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探测效率</w:t>
            </w:r>
          </w:p>
        </w:tc>
        <w:tc>
          <w:tcPr>
            <w:tcW w:w="1885" w:type="dxa"/>
            <w:vAlign w:val="center"/>
          </w:tcPr>
          <w:p w14:paraId="2D9C748F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065" w:type="dxa"/>
            <w:vAlign w:val="center"/>
          </w:tcPr>
          <w:p w14:paraId="66304F8A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065" w:type="dxa"/>
            <w:tcBorders>
              <w:right w:val="single" w:color="auto" w:sz="18" w:space="0"/>
            </w:tcBorders>
            <w:vAlign w:val="center"/>
          </w:tcPr>
          <w:p w14:paraId="666846CF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+</w:t>
            </w:r>
          </w:p>
        </w:tc>
      </w:tr>
      <w:tr w14:paraId="6216B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left w:val="single" w:color="auto" w:sz="18" w:space="0"/>
            </w:tcBorders>
            <w:vAlign w:val="center"/>
          </w:tcPr>
          <w:p w14:paraId="1D710A1B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重复性</w:t>
            </w:r>
          </w:p>
        </w:tc>
        <w:tc>
          <w:tcPr>
            <w:tcW w:w="1885" w:type="dxa"/>
            <w:vAlign w:val="center"/>
          </w:tcPr>
          <w:p w14:paraId="149D6A81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065" w:type="dxa"/>
            <w:vAlign w:val="center"/>
          </w:tcPr>
          <w:p w14:paraId="760B8F48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065" w:type="dxa"/>
            <w:tcBorders>
              <w:right w:val="single" w:color="auto" w:sz="18" w:space="0"/>
            </w:tcBorders>
            <w:vAlign w:val="center"/>
          </w:tcPr>
          <w:p w14:paraId="3484B4BE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+</w:t>
            </w:r>
          </w:p>
        </w:tc>
      </w:tr>
      <w:tr w14:paraId="0D1DF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  <w:tcBorders>
              <w:left w:val="single" w:color="auto" w:sz="18" w:space="0"/>
            </w:tcBorders>
            <w:vAlign w:val="center"/>
          </w:tcPr>
          <w:p w14:paraId="1BDC94AF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探测效率非线性</w:t>
            </w:r>
          </w:p>
        </w:tc>
        <w:tc>
          <w:tcPr>
            <w:tcW w:w="1885" w:type="dxa"/>
            <w:vAlign w:val="center"/>
          </w:tcPr>
          <w:p w14:paraId="7840C713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065" w:type="dxa"/>
            <w:vAlign w:val="center"/>
          </w:tcPr>
          <w:p w14:paraId="68222B5F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65" w:type="dxa"/>
            <w:tcBorders>
              <w:right w:val="single" w:color="auto" w:sz="18" w:space="0"/>
            </w:tcBorders>
            <w:vAlign w:val="center"/>
          </w:tcPr>
          <w:p w14:paraId="01E6C4F1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-</w:t>
            </w:r>
          </w:p>
        </w:tc>
      </w:tr>
      <w:tr w14:paraId="3A17F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0" w:type="dxa"/>
            <w:gridSpan w:val="4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2E096943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注：“+”为应检项目，“-”为可不检项目。</w:t>
            </w:r>
          </w:p>
        </w:tc>
      </w:tr>
    </w:tbl>
    <w:p w14:paraId="5D0EEBC6"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 w14:paraId="5C90FB84"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 w14:paraId="4EA7AB6D">
      <w:pPr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7.2.2 本底</w:t>
      </w:r>
    </w:p>
    <w:p w14:paraId="32379866">
      <w:pPr>
        <w:snapToGrid w:val="0"/>
        <w:spacing w:line="360" w:lineRule="auto"/>
        <w:ind w:firstLine="360" w:firstLineChars="150"/>
        <w:rPr>
          <w:rFonts w:hint="default" w:ascii="Times New Roman" w:hAnsi="Times New Roman" w:eastAsia="宋体" w:cs="Times New Roman"/>
          <w:color w:val="000000"/>
          <w:sz w:val="24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0"/>
          <w:lang w:val="en-US" w:eastAsia="zh-CN"/>
        </w:rPr>
        <w:t>将无放射性的空样品管送入γ计数器的测量室内，测量3次，每次10 min，按（1）式求其算术平均值。</w:t>
      </w:r>
    </w:p>
    <w:p w14:paraId="102B16AE">
      <w:pPr>
        <w:ind w:firstLine="560" w:firstLineChars="200"/>
        <w:jc w:val="right"/>
        <w:rPr>
          <w:rFonts w:ascii="Times New Roman" w:hAnsi="Times New Roman" w:eastAsia="宋体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eastAsia="宋体" w:cs="Times New Roman"/>
                <w:i/>
                <w:sz w:val="28"/>
                <w:szCs w:val="28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8"/>
                <w:szCs w:val="28"/>
              </w:rPr>
              <m:t>C</m:t>
            </m:r>
            <m:ctrlPr>
              <w:rPr>
                <w:rFonts w:ascii="Cambria Math" w:hAnsi="Cambria Math" w:eastAsia="宋体" w:cs="Times New Roman"/>
                <w:i/>
                <w:sz w:val="28"/>
                <w:szCs w:val="28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8"/>
                <w:szCs w:val="28"/>
              </w:rPr>
              <m:t>b</m:t>
            </m:r>
            <m:ctrlPr>
              <w:rPr>
                <w:rFonts w:ascii="Cambria Math" w:hAnsi="Cambria Math" w:eastAsia="宋体" w:cs="Times New Roman"/>
                <w:i/>
                <w:sz w:val="28"/>
                <w:szCs w:val="28"/>
              </w:rPr>
            </m:ctrlPr>
          </m:sub>
        </m:sSub>
        <m:r>
          <m:rPr/>
          <w:rPr>
            <w:rFonts w:ascii="Cambria Math" w:hAnsi="Cambria Math" w:eastAsia="宋体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宋体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naryPr>
              <m:sub>
                <m:r>
                  <m:rPr/>
                  <w:rPr>
                    <w:rFonts w:ascii="Cambria Math" w:hAnsi="Cambria Math" w:eastAsia="宋体" w:cs="Times New Roman"/>
                    <w:sz w:val="28"/>
                    <w:szCs w:val="28"/>
                  </w:rPr>
                  <m:t>i=1</m:t>
                </m: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sub>
              <m:sup>
                <m:r>
                  <m:rPr/>
                  <w:rPr>
                    <w:rFonts w:ascii="Cambria Math" w:hAnsi="Cambria Math" w:eastAsia="宋体" w:cs="Times New Roman"/>
                    <w:sz w:val="28"/>
                    <w:szCs w:val="28"/>
                  </w:rPr>
                  <m:t>n</m:t>
                </m: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sup>
              <m:e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  <m:t>N</m:t>
                    </m: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  <m:t>i</m:t>
                    </m: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e>
            </m:nary>
            <m:ctrlPr>
              <w:rPr>
                <w:rFonts w:ascii="Cambria Math" w:hAnsi="Cambria Math" w:eastAsia="宋体" w:cs="Times New Roman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8"/>
                <w:szCs w:val="28"/>
              </w:rPr>
              <m:t>n</m:t>
            </m:r>
            <m:ctrlPr>
              <w:rPr>
                <w:rFonts w:ascii="Cambria Math" w:hAnsi="Cambria Math" w:eastAsia="宋体" w:cs="Times New Roman"/>
                <w:i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</w:rPr>
        <w:t xml:space="preserve">                      (1)</w:t>
      </w:r>
    </w:p>
    <w:p w14:paraId="67D17704">
      <w:pPr>
        <w:snapToGrid w:val="0"/>
        <w:spacing w:line="360" w:lineRule="auto"/>
        <w:ind w:firstLine="360" w:firstLineChars="15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式中：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  <w:vertAlign w:val="subscript"/>
        </w:rPr>
        <w:t>b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─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放免计数器本底计数率，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min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-1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；</w:t>
      </w:r>
    </w:p>
    <w:p w14:paraId="18D4A09E">
      <w:pPr>
        <w:snapToGrid w:val="0"/>
        <w:spacing w:line="360" w:lineRule="auto"/>
        <w:ind w:firstLine="360" w:firstLineChars="15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i/>
          <w:iCs/>
          <w:color w:val="000000"/>
          <w:sz w:val="24"/>
          <w:szCs w:val="24"/>
        </w:rPr>
        <w:t>N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  <w:vertAlign w:val="subscript"/>
        </w:rPr>
        <w:t>i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─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第i次测量的读数值，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min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-1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；</w:t>
      </w:r>
    </w:p>
    <w:p w14:paraId="38F81F5F">
      <w:pPr>
        <w:snapToGrid w:val="0"/>
        <w:spacing w:line="360" w:lineRule="auto"/>
        <w:ind w:firstLine="360" w:firstLineChars="15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    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n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─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测量次数。</w:t>
      </w:r>
    </w:p>
    <w:p w14:paraId="244EC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7.2.3 探测效率</w:t>
      </w:r>
    </w:p>
    <w:p w14:paraId="4A0BFD10">
      <w:pPr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将校正后活度大于500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Bq的参考源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放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入γ计数器的测量室内，测量时间为60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s或选择适当测量时间使计数大于1×10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，连续测量5次。在扣除本底计数后其平均值代入式（1）计算探测效率：</w:t>
      </w:r>
    </w:p>
    <w:p w14:paraId="4E0750D4">
      <w:pPr>
        <w:jc w:val="right"/>
        <w:rPr>
          <w:rFonts w:ascii="Times New Roman" w:hAnsi="Times New Roman" w:eastAsia="宋体" w:cs="Times New Roman"/>
          <w:sz w:val="28"/>
          <w:szCs w:val="28"/>
        </w:rPr>
      </w:pPr>
      <m:oMath>
        <m:r>
          <m:rPr/>
          <w:rPr>
            <w:rFonts w:ascii="Cambria Math" w:hAnsi="Cambria Math" w:eastAsia="宋体" w:cs="Times New Roman"/>
            <w:sz w:val="28"/>
            <w:szCs w:val="28"/>
          </w:rPr>
          <m:t>E</m:t>
        </m:r>
        <m:r>
          <m:rPr>
            <m:sty m:val="p"/>
          </m:rPr>
          <w:rPr>
            <w:rFonts w:ascii="Cambria Math" w:hAnsi="Cambria Math" w:eastAsia="宋体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accPr>
              <m:e>
                <m:r>
                  <m:rPr/>
                  <w:rPr>
                    <w:rFonts w:ascii="Cambria Math" w:hAnsi="Cambria Math" w:eastAsia="宋体" w:cs="Times New Roman"/>
                    <w:sz w:val="28"/>
                    <w:szCs w:val="28"/>
                  </w:rPr>
                  <m:t>N</m:t>
                </m: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e>
            </m:acc>
            <m:ctrlPr>
              <w:rPr>
                <w:rFonts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8"/>
                <w:szCs w:val="28"/>
              </w:rPr>
              <m:t>A</m:t>
            </m:r>
            <m:ctrlPr>
              <w:rPr>
                <w:rFonts w:ascii="Cambria Math" w:hAnsi="Cambria Math" w:eastAsia="宋体" w:cs="Times New Roman"/>
                <w:sz w:val="28"/>
                <w:szCs w:val="28"/>
              </w:rPr>
            </m:ctrlPr>
          </m:den>
        </m:f>
        <m:r>
          <m:rPr/>
          <w:rPr>
            <w:rFonts w:ascii="Cambria Math" w:hAnsi="Cambria Math" w:eastAsia="宋体" w:cs="Times New Roman"/>
            <w:sz w:val="28"/>
            <w:szCs w:val="28"/>
          </w:rPr>
          <m:t>×100%</m:t>
        </m:r>
      </m:oMath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</w:rPr>
        <w:t xml:space="preserve">          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>(</w:t>
      </w:r>
      <w:r>
        <w:rPr>
          <w:rFonts w:ascii="Times New Roman" w:hAnsi="Times New Roman" w:eastAsia="宋体" w:cs="Times New Roman"/>
          <w:sz w:val="28"/>
          <w:szCs w:val="28"/>
        </w:rPr>
        <w:t>1)</w:t>
      </w:r>
    </w:p>
    <w:p w14:paraId="1513802A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式中：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E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─探测效率，%；</w:t>
      </w:r>
    </w:p>
    <w:p w14:paraId="12DB7175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   </w:t>
      </w:r>
      <m:oMath>
        <m:acc>
          <m:accPr>
            <m:chr m:val="̅"/>
            <m:ctrlPr>
              <w:rPr>
                <w:rFonts w:hint="eastAsia" w:ascii="Cambria Math" w:hAnsi="Cambria Math" w:eastAsia="宋体" w:cs="Times New Roman"/>
                <w:i/>
                <w:iCs/>
                <w:color w:val="000000"/>
                <w:sz w:val="24"/>
                <w:szCs w:val="24"/>
              </w:rPr>
            </m:ctrlPr>
          </m:accPr>
          <m:e>
            <m:r>
              <m:rPr/>
              <w:rPr>
                <w:rFonts w:hint="default" w:ascii="Cambria Math" w:hAnsi="Cambria Math" w:eastAsia="宋体" w:cs="Times New Roman"/>
                <w:color w:val="000000"/>
                <w:sz w:val="24"/>
                <w:szCs w:val="24"/>
              </w:rPr>
              <m:t>N</m:t>
            </m:r>
            <m:ctrlPr>
              <w:rPr>
                <w:rFonts w:hint="eastAsia" w:ascii="Cambria Math" w:hAnsi="Cambria Math" w:eastAsia="宋体" w:cs="Times New Roman"/>
                <w:i/>
                <w:iCs/>
                <w:color w:val="000000"/>
                <w:sz w:val="24"/>
                <w:szCs w:val="24"/>
              </w:rPr>
            </m:ctrlPr>
          </m:e>
        </m:acc>
      </m:oMath>
      <w:r>
        <w:rPr>
          <w:rFonts w:hint="eastAsia" w:hAnsi="Cambria Math" w:eastAsia="宋体" w:cs="Times New Roman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─扣除本底后的计数平均值，单位为每秒（s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-1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）；</w:t>
      </w:r>
    </w:p>
    <w:p w14:paraId="27A65A3D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   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─参考源活度，单位为贝可（Bq）。</w:t>
      </w:r>
    </w:p>
    <w:p w14:paraId="51846AFC">
      <w:pPr>
        <w:snapToGrid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凡配备两个或两个以上探头的多探头γ计数器，从各探头的探测效率值中挑出偏离平均探测效率值最大者按式（2）计算其一致性：</w:t>
      </w:r>
    </w:p>
    <w:p w14:paraId="179794FE">
      <w:pPr>
        <w:jc w:val="right"/>
        <w:rPr>
          <w:rFonts w:ascii="Times New Roman" w:hAnsi="Times New Roman" w:eastAsia="宋体" w:cs="Times New Roman"/>
          <w:sz w:val="28"/>
          <w:szCs w:val="28"/>
        </w:rPr>
      </w:pPr>
      <m:oMath>
        <m:r>
          <m:rPr/>
          <w:rPr>
            <w:rFonts w:ascii="Cambria Math" w:hAnsi="Cambria Math" w:eastAsia="宋体" w:cs="Times New Roman"/>
            <w:sz w:val="28"/>
            <w:szCs w:val="28"/>
          </w:rPr>
          <m:t>δ</m:t>
        </m:r>
        <m:r>
          <m:rPr>
            <m:sty m:val="p"/>
          </m:rPr>
          <w:rPr>
            <w:rFonts w:hint="eastAsia" w:ascii="Cambria Math" w:hAnsi="Cambria Math" w:eastAsia="宋体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  <m:t>E</m:t>
                    </m: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</w:rPr>
                      <m:t>max</m:t>
                    </m: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</w:rPr>
                    </m:ctrlPr>
                  </m:sub>
                </m:sSub>
                <m:r>
                  <m:rPr/>
                  <w:rPr>
                    <w:rFonts w:hint="eastAsia" w:ascii="Cambria Math" w:hAnsi="Cambria Math" w:eastAsia="宋体" w:cs="微软雅黑"/>
                    <w:sz w:val="28"/>
                    <w:szCs w:val="28"/>
                  </w:rPr>
                  <m:t>−</m:t>
                </m:r>
                <m:acc>
                  <m:accPr>
                    <m:chr m:val="̅"/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  <m:t>E</m:t>
                    </m: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</w:rPr>
                    </m:ctrlPr>
                  </m:e>
                </m:acc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sz w:val="28"/>
                <w:szCs w:val="28"/>
              </w:rPr>
            </m:ctrlPr>
          </m:num>
          <m:den>
            <m:acc>
              <m:accPr>
                <m:chr m:val="̅"/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accPr>
              <m:e>
                <m:r>
                  <m:rPr/>
                  <w:rPr>
                    <w:rFonts w:ascii="Cambria Math" w:hAnsi="Cambria Math" w:eastAsia="宋体" w:cs="Times New Roman"/>
                    <w:sz w:val="28"/>
                    <w:szCs w:val="28"/>
                  </w:rPr>
                  <m:t>E</m:t>
                </m: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e>
            </m:acc>
            <m:ctrlPr>
              <w:rPr>
                <w:rFonts w:ascii="Cambria Math" w:hAnsi="Cambria Math" w:eastAsia="宋体" w:cs="Times New Roman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Times New Roman"/>
            <w:sz w:val="28"/>
            <w:szCs w:val="28"/>
          </w:rPr>
          <m:t>×100%</m:t>
        </m:r>
      </m:oMath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</w:rPr>
        <w:t xml:space="preserve">          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>(2</w:t>
      </w:r>
      <w:r>
        <w:rPr>
          <w:rFonts w:ascii="Times New Roman" w:hAnsi="Times New Roman" w:eastAsia="宋体" w:cs="Times New Roman"/>
          <w:sz w:val="28"/>
          <w:szCs w:val="28"/>
        </w:rPr>
        <w:t>)</w:t>
      </w:r>
    </w:p>
    <w:p w14:paraId="6E380FB1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式中：</w:t>
      </w:r>
      <w:r>
        <w:rPr>
          <w:rFonts w:hint="default" w:ascii="Times New Roman" w:hAnsi="Times New Roman" w:eastAsia="宋体" w:cs="Times New Roman"/>
          <w:i/>
          <w:iCs/>
          <w:color w:val="000000"/>
          <w:sz w:val="24"/>
          <w:szCs w:val="24"/>
        </w:rPr>
        <w:t>δ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─相对偏差值，%；</w:t>
      </w:r>
    </w:p>
    <w:p w14:paraId="77BEFC7F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   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E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  <w:vertAlign w:val="subscript"/>
        </w:rPr>
        <w:t>max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─偏离平均探测效率值最大者，%；</w:t>
      </w:r>
    </w:p>
    <w:p w14:paraId="33BCD4AF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   </w:t>
      </w:r>
      <m:oMath>
        <m:acc>
          <m:accPr>
            <m:chr m:val="̅"/>
            <m:ctrlPr>
              <w:rPr>
                <w:rFonts w:hint="eastAsia" w:ascii="Cambria Math" w:hAnsi="Cambria Math" w:eastAsia="宋体" w:cs="Times New Roman"/>
                <w:i/>
                <w:iCs/>
                <w:color w:val="000000"/>
                <w:sz w:val="24"/>
                <w:szCs w:val="24"/>
              </w:rPr>
            </m:ctrlPr>
          </m:accPr>
          <m:e>
            <m:r>
              <m:rPr/>
              <w:rPr>
                <w:rFonts w:hint="default" w:ascii="Cambria Math" w:hAnsi="Cambria Math" w:eastAsia="宋体" w:cs="Times New Roman"/>
                <w:color w:val="000000"/>
                <w:sz w:val="24"/>
                <w:szCs w:val="24"/>
              </w:rPr>
              <m:t>E</m:t>
            </m:r>
            <m:ctrlPr>
              <w:rPr>
                <w:rFonts w:hint="eastAsia" w:ascii="Cambria Math" w:hAnsi="Cambria Math" w:eastAsia="宋体" w:cs="Times New Roman"/>
                <w:i/>
                <w:iCs/>
                <w:color w:val="000000"/>
                <w:sz w:val="24"/>
                <w:szCs w:val="24"/>
              </w:rPr>
            </m:ctrlPr>
          </m:e>
        </m:acc>
      </m:oMath>
      <w:r>
        <w:rPr>
          <w:rFonts w:hint="eastAsia" w:hAnsi="Cambria Math" w:eastAsia="宋体" w:cs="Times New Roman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─平均探测效率值，%。</w:t>
      </w:r>
    </w:p>
    <w:p w14:paraId="0AA7D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7.2.4 重复性</w:t>
      </w:r>
    </w:p>
    <w:p w14:paraId="721BADA3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重复性以单次测量的相对标准偏差表示。</w:t>
      </w:r>
    </w:p>
    <w:p w14:paraId="26EC91A2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将活度值为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500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Bq左右的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125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I标准源或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129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I标准源在放免计数器上进行测量，每次测量时间为60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s，连续测量10次，按式（3）计算单次测量的相对标准偏差。</w:t>
      </w:r>
    </w:p>
    <w:p w14:paraId="19253640">
      <w:pPr>
        <w:jc w:val="right"/>
        <w:rPr>
          <w:rFonts w:ascii="Times New Roman" w:hAnsi="Times New Roman" w:eastAsia="宋体" w:cs="Times New Roman"/>
          <w:sz w:val="28"/>
          <w:szCs w:val="28"/>
        </w:rPr>
      </w:pPr>
      <m:oMath>
        <m:r>
          <m:rPr/>
          <w:rPr>
            <w:rFonts w:ascii="Cambria Math" w:hAnsi="Cambria Math" w:eastAsia="宋体" w:cs="Times New Roman"/>
            <w:sz w:val="28"/>
            <w:szCs w:val="28"/>
          </w:rPr>
          <m:t>S</m:t>
        </m:r>
        <m:r>
          <m:rPr>
            <m:sty m:val="p"/>
          </m:rPr>
          <w:rPr>
            <w:rFonts w:ascii="Cambria Math" w:hAnsi="Cambria Math" w:eastAsia="宋体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 w:cs="Times New Roman"/>
                <w:sz w:val="28"/>
                <w:szCs w:val="28"/>
              </w:rPr>
            </m:ctrlPr>
          </m:num>
          <m:den>
            <m:acc>
              <m:accPr>
                <m:chr m:val="̅"/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accPr>
              <m:e>
                <m:r>
                  <m:rPr/>
                  <w:rPr>
                    <w:rFonts w:ascii="Cambria Math" w:hAnsi="Cambria Math" w:eastAsia="宋体" w:cs="Times New Roman"/>
                    <w:sz w:val="28"/>
                    <w:szCs w:val="28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e>
            </m:acc>
            <m:ctrlPr>
              <w:rPr>
                <w:rFonts w:ascii="Cambria Math" w:hAnsi="Cambria Math" w:eastAsia="宋体" w:cs="Times New Roman"/>
                <w:sz w:val="28"/>
                <w:szCs w:val="28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 w:cs="Times New Roman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 w:cs="Times New Roman"/>
                <w:i/>
                <w:sz w:val="28"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sz w:val="28"/>
                    <w:szCs w:val="28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num>
              <m:den>
                <m:r>
                  <m:rPr/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  <m:t>n</m:t>
                </m:r>
                <m:r>
                  <m:rPr/>
                  <w:rPr>
                    <w:rFonts w:hint="eastAsia" w:ascii="Cambria Math" w:hAnsi="Cambria Math" w:eastAsia="宋体" w:cs="微软雅黑"/>
                    <w:sz w:val="28"/>
                    <w:szCs w:val="28"/>
                  </w:rPr>
                  <m:t>−</m:t>
                </m:r>
                <m:r>
                  <m:rPr/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naryPr>
              <m:sub>
                <m:r>
                  <m:rPr/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  <m:t>i=1</m:t>
                </m: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sub>
              <m:sup>
                <m:r>
                  <m:rPr/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  <m:t>n</m:t>
                </m: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sup>
              <m:e>
                <m:sSup>
                  <m:sSupP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eastAsia="宋体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8"/>
                            <w:szCs w:val="28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8"/>
                            <w:szCs w:val="2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 w:eastAsia="宋体" w:cs="Times New Roman"/>
                            <w:sz w:val="28"/>
                            <w:szCs w:val="28"/>
                          </w:rPr>
                          <m:t>i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8"/>
                            <w:szCs w:val="28"/>
                          </w:rPr>
                        </m:ctrlPr>
                      </m:sub>
                    </m:sSub>
                    <m:r>
                      <m:rPr/>
                      <w:rPr>
                        <w:rFonts w:hint="eastAsia" w:ascii="Cambria Math" w:hAnsi="Cambria Math" w:eastAsia="宋体" w:cs="微软雅黑"/>
                        <w:sz w:val="28"/>
                        <w:szCs w:val="28"/>
                      </w:rPr>
                      <m:t>−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 w:eastAsia="宋体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m:rPr/>
                          <w:rPr>
                            <w:rFonts w:ascii="Cambria Math" w:hAnsi="Cambria Math" w:eastAsia="宋体" w:cs="Times New Roman"/>
                            <w:sz w:val="28"/>
                            <w:szCs w:val="28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 w:cs="Times New Roman"/>
                            <w:i/>
                            <w:sz w:val="28"/>
                            <w:szCs w:val="28"/>
                          </w:rPr>
                        </m:ctrlPr>
                      </m:e>
                    </m:acc>
                    <m:r>
                      <m:rPr/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  <m:t>)</m:t>
                    </m: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</w:rPr>
                    </m:ctrlPr>
                  </m:sup>
                </m:sSup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</w:rPr>
                </m:ctrlPr>
              </m:e>
            </m:nary>
            <m:ctrlPr>
              <w:rPr>
                <w:rFonts w:ascii="Cambria Math" w:hAnsi="Cambria Math" w:eastAsia="宋体" w:cs="Times New Roman"/>
                <w:i/>
                <w:sz w:val="28"/>
                <w:szCs w:val="28"/>
              </w:rPr>
            </m:ctrlPr>
          </m:e>
        </m:rad>
      </m:oMath>
      <w:r>
        <w:rPr>
          <w:rFonts w:hint="eastAsia" w:ascii="Times New Roman" w:hAnsi="Times New Roman" w:eastAsia="宋体" w:cs="Times New Roman"/>
          <w:sz w:val="28"/>
          <w:szCs w:val="28"/>
        </w:rPr>
        <w:t>×100%</w:t>
      </w:r>
      <w:r>
        <w:rPr>
          <w:rFonts w:ascii="Times New Roman" w:hAnsi="Times New Roman" w:eastAsia="宋体" w:cs="Times New Roman"/>
          <w:sz w:val="28"/>
          <w:szCs w:val="28"/>
        </w:rPr>
        <w:t xml:space="preserve">             (3)</w:t>
      </w:r>
    </w:p>
    <w:p w14:paraId="4B588BA9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式中：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S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─重复性，%；</w:t>
      </w:r>
    </w:p>
    <w:p w14:paraId="1EF2BB99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   </w:t>
      </w:r>
      <m:oMath>
        <m:acc>
          <m:accPr>
            <m:chr m:val="̅"/>
            <m:ctrlPr>
              <w:rPr>
                <w:rFonts w:hint="eastAsia" w:ascii="Cambria Math" w:hAnsi="Cambria Math" w:eastAsia="宋体" w:cs="Times New Roman"/>
                <w:i/>
                <w:iCs/>
                <w:color w:val="000000"/>
                <w:sz w:val="24"/>
                <w:szCs w:val="24"/>
              </w:rPr>
            </m:ctrlPr>
          </m:accPr>
          <m:e>
            <m:r>
              <m:rPr/>
              <w:rPr>
                <w:rFonts w:hint="default" w:ascii="Cambria Math" w:hAnsi="Cambria Math" w:eastAsia="宋体" w:cs="Times New Roman"/>
                <w:color w:val="000000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="宋体" w:cs="Times New Roman"/>
                <w:i/>
                <w:iCs/>
                <w:color w:val="000000"/>
                <w:sz w:val="24"/>
                <w:szCs w:val="24"/>
              </w:rPr>
            </m:ctrlPr>
          </m:e>
        </m:acc>
      </m:oMath>
      <w:r>
        <w:rPr>
          <w:rFonts w:hint="eastAsia" w:hAnsi="Cambria Math" w:eastAsia="宋体" w:cs="Times New Roman"/>
          <w:i/>
          <w:i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n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次测量的算术平均值，min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-1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；</w:t>
      </w:r>
    </w:p>
    <w:p w14:paraId="180BA399">
      <w:pPr>
        <w:snapToGrid w:val="0"/>
        <w:spacing w:line="360" w:lineRule="auto"/>
        <w:ind w:firstLine="360" w:firstLineChars="15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   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X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  <w:vertAlign w:val="subscript"/>
        </w:rPr>
        <w:t>i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─第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i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次测量值，min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-1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。</w:t>
      </w:r>
    </w:p>
    <w:p w14:paraId="30141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7.2.5 探测效率的非线性</w:t>
      </w:r>
    </w:p>
    <w:p w14:paraId="31D44587">
      <w:pPr>
        <w:snapToGrid w:val="0"/>
        <w:spacing w:line="360" w:lineRule="auto"/>
        <w:ind w:firstLine="360" w:firstLineChars="15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探测效率的非线性采用放射源活度等级法进行测试。用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129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I或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125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I放射源制备五个活度等级的参考源，其活度按1/2递减。参考源最大活度不小于5×10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Bq。</w:t>
      </w:r>
    </w:p>
    <w:p w14:paraId="7837A1B8">
      <w:pPr>
        <w:snapToGrid w:val="0"/>
        <w:spacing w:line="360" w:lineRule="auto"/>
        <w:ind w:firstLine="48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将五个参考源依次送入γ计数器的测量室内，测量时间应使最小活度参考源的计数大于1×10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，每个参考源连续测量5次，求其平均值。将五个计数平均值分别按式（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）计算出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γ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计数器对该五个参考源的探测效率并取其平均值。从五个探测效率值中挑出偏离平均探测效率值最大者按式（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）计算探测效率的非线性。</w:t>
      </w:r>
    </w:p>
    <w:p w14:paraId="68545274">
      <w:pPr>
        <w:jc w:val="right"/>
        <w:rPr>
          <w:rFonts w:ascii="Times New Roman" w:hAnsi="Times New Roman" w:eastAsia="宋体" w:cs="Times New Roman"/>
          <w:sz w:val="28"/>
          <w:szCs w:val="28"/>
          <w:highlight w:val="none"/>
        </w:rPr>
      </w:pPr>
      <m:oMath>
        <m:r>
          <m:rPr/>
          <w:rPr>
            <w:rFonts w:ascii="Cambria Math" w:hAnsi="Cambria Math" w:eastAsia="宋体" w:cs="Times New Roman"/>
            <w:sz w:val="28"/>
            <w:szCs w:val="28"/>
            <w:highlight w:val="none"/>
          </w:rPr>
          <m:t>E</m:t>
        </m:r>
        <m:r>
          <m:rPr>
            <m:sty m:val="p"/>
          </m:rPr>
          <w:rPr>
            <w:rFonts w:ascii="Cambria Math" w:hAnsi="Cambria Math" w:eastAsia="宋体" w:cs="Times New Roman"/>
            <w:sz w:val="28"/>
            <w:szCs w:val="28"/>
            <w:highlight w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8"/>
                <w:szCs w:val="28"/>
                <w:highlight w:val="none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  <w:highlight w:val="none"/>
                  </w:rPr>
                </m:ctrlPr>
              </m:accPr>
              <m:e>
                <m:r>
                  <m:rPr/>
                  <w:rPr>
                    <w:rFonts w:ascii="Cambria Math" w:hAnsi="Cambria Math" w:eastAsia="宋体" w:cs="Times New Roman"/>
                    <w:sz w:val="28"/>
                    <w:szCs w:val="28"/>
                    <w:highlight w:val="none"/>
                  </w:rPr>
                  <m:t>N</m:t>
                </m: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  <w:highlight w:val="none"/>
                  </w:rPr>
                </m:ctrlPr>
              </m:e>
            </m:acc>
            <m:ctrlPr>
              <w:rPr>
                <w:rFonts w:ascii="Cambria Math" w:hAnsi="Cambria Math" w:eastAsia="宋体" w:cs="Times New Roman"/>
                <w:sz w:val="28"/>
                <w:szCs w:val="28"/>
                <w:highlight w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8"/>
                <w:szCs w:val="28"/>
                <w:highlight w:val="none"/>
              </w:rPr>
              <m:t>A</m:t>
            </m:r>
            <m:ctrlPr>
              <w:rPr>
                <w:rFonts w:ascii="Cambria Math" w:hAnsi="Cambria Math" w:eastAsia="宋体" w:cs="Times New Roman"/>
                <w:sz w:val="28"/>
                <w:szCs w:val="28"/>
                <w:highlight w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8"/>
            <w:szCs w:val="28"/>
            <w:highlight w:val="none"/>
          </w:rPr>
          <m:t>×100%</m:t>
        </m:r>
      </m:oMath>
      <w:r>
        <w:rPr>
          <w:rFonts w:hint="eastAsia" w:ascii="Times New Roman" w:hAnsi="Times New Roman" w:eastAsia="宋体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  <w:highlight w:val="none"/>
        </w:rPr>
        <w:t xml:space="preserve">                      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</w:rPr>
        <w:t>(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4</w:t>
      </w:r>
      <w:r>
        <w:rPr>
          <w:rFonts w:ascii="Times New Roman" w:hAnsi="Times New Roman" w:eastAsia="宋体" w:cs="Times New Roman"/>
          <w:sz w:val="28"/>
          <w:szCs w:val="28"/>
          <w:highlight w:val="none"/>
        </w:rPr>
        <w:t>)</w:t>
      </w:r>
    </w:p>
    <w:p w14:paraId="05EC1A97">
      <w:pPr>
        <w:snapToGrid w:val="0"/>
        <w:spacing w:line="360" w:lineRule="auto"/>
        <w:ind w:firstLine="48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式中：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E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─探测效率，%；</w:t>
      </w:r>
    </w:p>
    <w:p w14:paraId="4DC4BC4A">
      <w:pPr>
        <w:snapToGrid w:val="0"/>
        <w:spacing w:line="360" w:lineRule="auto"/>
        <w:ind w:firstLine="48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   </w:t>
      </w:r>
      <m:oMath>
        <m:acc>
          <m:accPr>
            <m:chr m:val="̅"/>
            <m:ctrlPr>
              <w:rPr>
                <w:rFonts w:hint="eastAsia" w:ascii="Cambria Math" w:hAnsi="Cambria Math" w:eastAsia="宋体" w:cs="Times New Roman"/>
                <w:i/>
                <w:iCs/>
                <w:color w:val="000000"/>
                <w:sz w:val="24"/>
                <w:szCs w:val="24"/>
              </w:rPr>
            </m:ctrlPr>
          </m:accPr>
          <m:e>
            <m:r>
              <m:rPr/>
              <w:rPr>
                <w:rFonts w:hint="default" w:ascii="Cambria Math" w:hAnsi="Cambria Math" w:eastAsia="宋体" w:cs="Times New Roman"/>
                <w:color w:val="000000"/>
                <w:sz w:val="24"/>
                <w:szCs w:val="24"/>
              </w:rPr>
              <m:t>N</m:t>
            </m:r>
            <m:r>
              <m:rPr/>
              <w:rPr>
                <w:rFonts w:hint="default" w:ascii="Cambria Math" w:hAnsi="Cambria Math" w:eastAsia="宋体" w:cs="Times New Roman"/>
                <w:color w:val="000000"/>
                <w:sz w:val="24"/>
                <w:szCs w:val="24"/>
                <w:lang w:val="en-US" w:eastAsia="zh-CN"/>
              </w:rPr>
              <m:t xml:space="preserve"> </m:t>
            </m:r>
            <m:ctrlPr>
              <w:rPr>
                <w:rFonts w:hint="eastAsia" w:ascii="Cambria Math" w:hAnsi="Cambria Math" w:eastAsia="宋体" w:cs="Times New Roman"/>
                <w:i/>
                <w:iCs/>
                <w:color w:val="000000"/>
                <w:sz w:val="24"/>
                <w:szCs w:val="24"/>
              </w:rPr>
            </m:ctrlPr>
          </m:e>
        </m:acc>
      </m:oMath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─扣除本底后的计数平均值，单位为每秒（s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vertAlign w:val="superscript"/>
        </w:rPr>
        <w:t>-1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）；</w:t>
      </w:r>
    </w:p>
    <w:p w14:paraId="0F784DE2">
      <w:pPr>
        <w:snapToGrid w:val="0"/>
        <w:spacing w:line="360" w:lineRule="auto"/>
        <w:ind w:firstLine="48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  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 xml:space="preserve"> A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─参考源活度，单位为贝可（Bq）。</w:t>
      </w:r>
    </w:p>
    <w:p w14:paraId="67C26F87">
      <w:pPr>
        <w:jc w:val="right"/>
        <w:rPr>
          <w:rFonts w:ascii="Times New Roman" w:hAnsi="Times New Roman" w:eastAsia="宋体" w:cs="Times New Roman"/>
          <w:sz w:val="28"/>
          <w:szCs w:val="28"/>
          <w:highlight w:val="none"/>
        </w:rPr>
      </w:pPr>
      <m:oMath>
        <m:r>
          <m:rPr/>
          <w:rPr>
            <w:rFonts w:ascii="Cambria Math" w:hAnsi="Cambria Math" w:eastAsia="宋体" w:cs="Times New Roman"/>
            <w:sz w:val="28"/>
            <w:szCs w:val="28"/>
            <w:highlight w:val="none"/>
          </w:rPr>
          <m:t>δ</m:t>
        </m:r>
        <m:r>
          <m:rPr>
            <m:sty m:val="p"/>
          </m:rPr>
          <w:rPr>
            <w:rFonts w:hint="eastAsia" w:ascii="Cambria Math" w:hAnsi="Cambria Math" w:eastAsia="宋体" w:cs="Times New Roman"/>
            <w:sz w:val="28"/>
            <w:szCs w:val="28"/>
            <w:highlight w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8"/>
                <w:szCs w:val="28"/>
                <w:highlight w:val="none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  <w:highlight w:val="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sz w:val="28"/>
                        <w:szCs w:val="28"/>
                        <w:highlight w:val="none"/>
                      </w:rPr>
                      <m:t>E</m:t>
                    </m: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  <w:highlight w:val="none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  <w:highlight w:val="none"/>
                      </w:rPr>
                      <m:t>max</m:t>
                    </m: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  <w:highlight w:val="none"/>
                      </w:rPr>
                    </m:ctrlPr>
                  </m:sub>
                </m:sSub>
                <m:r>
                  <m:rPr/>
                  <w:rPr>
                    <w:rFonts w:hint="eastAsia" w:ascii="Cambria Math" w:hAnsi="Cambria Math" w:eastAsia="宋体" w:cs="微软雅黑"/>
                    <w:sz w:val="28"/>
                    <w:szCs w:val="28"/>
                    <w:highlight w:val="none"/>
                  </w:rPr>
                  <m:t>−</m:t>
                </m:r>
                <m:acc>
                  <m:accPr>
                    <m:chr m:val="̅"/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  <w:highlight w:val="none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 w:eastAsia="宋体" w:cs="Times New Roman"/>
                        <w:sz w:val="28"/>
                        <w:szCs w:val="28"/>
                        <w:highlight w:val="none"/>
                      </w:rPr>
                      <m:t>E</m:t>
                    </m:r>
                    <m:ctrlPr>
                      <w:rPr>
                        <w:rFonts w:ascii="Cambria Math" w:hAnsi="Cambria Math" w:eastAsia="宋体" w:cs="Times New Roman"/>
                        <w:i/>
                        <w:sz w:val="28"/>
                        <w:szCs w:val="28"/>
                        <w:highlight w:val="none"/>
                      </w:rPr>
                    </m:ctrlPr>
                  </m:e>
                </m:acc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  <w:highlight w:val="none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sz w:val="28"/>
                <w:szCs w:val="28"/>
                <w:highlight w:val="none"/>
              </w:rPr>
            </m:ctrlPr>
          </m:num>
          <m:den>
            <m:acc>
              <m:accPr>
                <m:chr m:val="̅"/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  <w:highlight w:val="none"/>
                  </w:rPr>
                </m:ctrlPr>
              </m:accPr>
              <m:e>
                <m:r>
                  <m:rPr/>
                  <w:rPr>
                    <w:rFonts w:ascii="Cambria Math" w:hAnsi="Cambria Math" w:eastAsia="宋体" w:cs="Times New Roman"/>
                    <w:sz w:val="28"/>
                    <w:szCs w:val="28"/>
                    <w:highlight w:val="none"/>
                  </w:rPr>
                  <m:t>E</m:t>
                </m:r>
                <m:ctrlPr>
                  <w:rPr>
                    <w:rFonts w:ascii="Cambria Math" w:hAnsi="Cambria Math" w:eastAsia="宋体" w:cs="Times New Roman"/>
                    <w:i/>
                    <w:sz w:val="28"/>
                    <w:szCs w:val="28"/>
                    <w:highlight w:val="none"/>
                  </w:rPr>
                </m:ctrlPr>
              </m:e>
            </m:acc>
            <m:ctrlPr>
              <w:rPr>
                <w:rFonts w:ascii="Cambria Math" w:hAnsi="Cambria Math" w:eastAsia="宋体" w:cs="Times New Roman"/>
                <w:sz w:val="28"/>
                <w:szCs w:val="28"/>
                <w:highlight w:val="none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Times New Roman"/>
            <w:sz w:val="28"/>
            <w:szCs w:val="28"/>
            <w:highlight w:val="none"/>
          </w:rPr>
          <m:t>×100%</m:t>
        </m:r>
      </m:oMath>
      <w:r>
        <w:rPr>
          <w:rFonts w:hint="eastAsia" w:ascii="Times New Roman" w:hAnsi="Times New Roman" w:eastAsia="宋体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  <w:highlight w:val="none"/>
        </w:rPr>
        <w:t xml:space="preserve">                      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</w:rPr>
        <w:t>(</w:t>
      </w:r>
      <w:r>
        <w:rPr>
          <w:rFonts w:hint="eastAsia" w:ascii="Times New Roman" w:hAnsi="Times New Roman" w:eastAsia="宋体" w:cs="Times New Roman"/>
          <w:sz w:val="28"/>
          <w:szCs w:val="28"/>
          <w:highlight w:val="none"/>
          <w:lang w:val="en-US" w:eastAsia="zh-CN"/>
        </w:rPr>
        <w:t>5</w:t>
      </w:r>
      <w:r>
        <w:rPr>
          <w:rFonts w:ascii="Times New Roman" w:hAnsi="Times New Roman" w:eastAsia="宋体" w:cs="Times New Roman"/>
          <w:sz w:val="28"/>
          <w:szCs w:val="28"/>
          <w:highlight w:val="none"/>
        </w:rPr>
        <w:t>)</w:t>
      </w:r>
    </w:p>
    <w:p w14:paraId="293D766B">
      <w:pPr>
        <w:snapToGrid w:val="0"/>
        <w:spacing w:line="360" w:lineRule="auto"/>
        <w:ind w:firstLine="48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式中：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δ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─相对偏差值，%；</w:t>
      </w:r>
    </w:p>
    <w:p w14:paraId="35F4C1AF">
      <w:pPr>
        <w:snapToGrid w:val="0"/>
        <w:spacing w:line="360" w:lineRule="auto"/>
        <w:ind w:firstLine="48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   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</w:rPr>
        <w:t>E</w:t>
      </w:r>
      <w:r>
        <w:rPr>
          <w:rFonts w:hint="eastAsia" w:ascii="Times New Roman" w:hAnsi="Times New Roman" w:eastAsia="宋体" w:cs="Times New Roman"/>
          <w:i/>
          <w:iCs/>
          <w:color w:val="000000"/>
          <w:sz w:val="24"/>
          <w:szCs w:val="24"/>
          <w:vertAlign w:val="subscript"/>
        </w:rPr>
        <w:t>max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─偏离平均探测效率值最大者，%；</w:t>
      </w:r>
    </w:p>
    <w:p w14:paraId="09B7361D">
      <w:pPr>
        <w:snapToGrid w:val="0"/>
        <w:spacing w:line="360" w:lineRule="auto"/>
        <w:ind w:firstLine="48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   </w:t>
      </w:r>
      <m:oMath>
        <m:acc>
          <m:accPr>
            <m:chr m:val="̅"/>
            <m:ctrlPr>
              <w:rPr>
                <w:rFonts w:hint="eastAsia" w:ascii="Cambria Math" w:hAnsi="Cambria Math" w:eastAsia="宋体" w:cs="Times New Roman"/>
                <w:color w:val="000000"/>
                <w:sz w:val="24"/>
                <w:szCs w:val="24"/>
              </w:rPr>
            </m:ctrlPr>
          </m:accPr>
          <m:e>
            <m:r>
              <m:rPr/>
              <w:rPr>
                <w:rFonts w:hint="default" w:ascii="Cambria Math" w:hAnsi="Cambria Math" w:eastAsia="宋体" w:cs="Times New Roman"/>
                <w:color w:val="000000"/>
                <w:sz w:val="24"/>
                <w:szCs w:val="24"/>
              </w:rPr>
              <m:t>E</m:t>
            </m:r>
            <m:r>
              <m:rPr>
                <m:sty m:val="p"/>
              </m:rPr>
              <w:rPr>
                <w:rFonts w:hint="default" w:ascii="Cambria Math" w:hAnsi="Cambria Math" w:eastAsia="宋体" w:cs="Times New Roman"/>
                <w:color w:val="000000"/>
                <w:sz w:val="24"/>
                <w:szCs w:val="24"/>
                <w:lang w:val="en-US" w:eastAsia="zh-CN"/>
              </w:rPr>
              <m:t xml:space="preserve"> </m:t>
            </m:r>
            <m:ctrlPr>
              <w:rPr>
                <w:rFonts w:hint="eastAsia" w:ascii="Cambria Math" w:hAnsi="Cambria Math" w:eastAsia="宋体" w:cs="Times New Roman"/>
                <w:color w:val="000000"/>
                <w:sz w:val="24"/>
                <w:szCs w:val="24"/>
              </w:rPr>
            </m:ctrlPr>
          </m:e>
        </m:acc>
      </m:oMath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─平均探测效率值，%。</w:t>
      </w:r>
    </w:p>
    <w:p w14:paraId="6C272754">
      <w:pPr>
        <w:pStyle w:val="3"/>
        <w:snapToGrid w:val="0"/>
        <w:spacing w:line="360" w:lineRule="auto"/>
        <w:rPr>
          <w:rFonts w:ascii="Times New Roman" w:hAnsi="Times New Roman" w:eastAsia="黑体" w:cs="Times New Roman"/>
          <w:b/>
          <w:color w:val="000000"/>
          <w:sz w:val="24"/>
          <w:szCs w:val="24"/>
        </w:rPr>
      </w:pPr>
      <w:bookmarkStart w:id="21" w:name="_Toc26685"/>
      <w:r>
        <w:rPr>
          <w:rFonts w:ascii="Times New Roman" w:hAnsi="Times New Roman" w:eastAsia="黑体" w:cs="Times New Roman"/>
          <w:b/>
          <w:color w:val="000000"/>
          <w:sz w:val="24"/>
          <w:szCs w:val="24"/>
        </w:rPr>
        <w:t>7.3 检定结果的处理</w:t>
      </w:r>
      <w:bookmarkEnd w:id="21"/>
    </w:p>
    <w:p w14:paraId="351CBF79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7.3.1 按本规程的规定和要求，检定合格的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γ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放射免疫计数器发给检定证书。</w:t>
      </w:r>
    </w:p>
    <w:p w14:paraId="2AEA4579">
      <w:pPr>
        <w:snapToGrid w:val="0"/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7.3.2 按本规程的规定和要求，检定不合格的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γ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放射免疫计数器发给检定结果通知书，并注明不合格项目。</w:t>
      </w:r>
    </w:p>
    <w:p w14:paraId="7877F57E">
      <w:pPr>
        <w:pStyle w:val="3"/>
        <w:snapToGrid w:val="0"/>
        <w:spacing w:line="360" w:lineRule="auto"/>
        <w:rPr>
          <w:rFonts w:ascii="Times New Roman" w:hAnsi="Times New Roman" w:eastAsia="黑体" w:cs="Times New Roman"/>
          <w:b/>
          <w:color w:val="000000"/>
          <w:sz w:val="24"/>
          <w:szCs w:val="24"/>
        </w:rPr>
      </w:pPr>
      <w:bookmarkStart w:id="22" w:name="_Toc28230"/>
      <w:r>
        <w:rPr>
          <w:rFonts w:ascii="Times New Roman" w:hAnsi="Times New Roman" w:eastAsia="黑体" w:cs="Times New Roman"/>
          <w:b/>
          <w:color w:val="000000"/>
          <w:sz w:val="24"/>
          <w:szCs w:val="24"/>
        </w:rPr>
        <w:t>7.4 检定周期</w:t>
      </w:r>
      <w:bookmarkEnd w:id="22"/>
    </w:p>
    <w:p w14:paraId="3FAB0B98">
      <w:pPr>
        <w:snapToGrid w:val="0"/>
        <w:spacing w:line="360" w:lineRule="auto"/>
        <w:ind w:firstLine="480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γ放射免疫计数器的检定周期一般不超过2年。</w:t>
      </w:r>
    </w:p>
    <w:p w14:paraId="4B78ED78"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br w:type="page"/>
      </w:r>
    </w:p>
    <w:p w14:paraId="28747C1F">
      <w:pPr>
        <w:pStyle w:val="2"/>
        <w:ind w:firstLine="0"/>
        <w:jc w:val="left"/>
        <w:rPr>
          <w:rFonts w:hint="eastAsia" w:eastAsia="宋体" w:cs="Times New Roman"/>
          <w:sz w:val="28"/>
          <w:szCs w:val="4"/>
        </w:rPr>
      </w:pPr>
      <w:bookmarkStart w:id="23" w:name="_Toc26238"/>
      <w:r>
        <w:rPr>
          <w:rFonts w:hint="eastAsia" w:eastAsia="宋体" w:cs="Times New Roman"/>
          <w:sz w:val="28"/>
          <w:szCs w:val="4"/>
        </w:rPr>
        <w:t>附录</w:t>
      </w:r>
      <w:bookmarkEnd w:id="23"/>
    </w:p>
    <w:p w14:paraId="7945B240"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检定证书和原始记录格式</w:t>
      </w:r>
    </w:p>
    <w:p w14:paraId="2174E67D"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一、检定证书正文内容</w:t>
      </w:r>
    </w:p>
    <w:p w14:paraId="1CBAFC97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bookmarkStart w:id="24" w:name="_Toc11281"/>
      <w:r>
        <w:rPr>
          <w:rFonts w:hint="eastAsia" w:ascii="Times New Roman" w:hAnsi="Times New Roman" w:eastAsia="宋体" w:cs="Times New Roman"/>
          <w:sz w:val="24"/>
          <w:szCs w:val="24"/>
        </w:rPr>
        <w:t>1 检定条件</w:t>
      </w:r>
      <w:bookmarkEnd w:id="24"/>
    </w:p>
    <w:p w14:paraId="412A354C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1.1 检定用的γ标准源核素名称、活度范围和扩展不确定度</w:t>
      </w:r>
    </w:p>
    <w:p w14:paraId="04C9F0D1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1.2 检定的环境条件</w:t>
      </w:r>
    </w:p>
    <w:p w14:paraId="25D12ADE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bookmarkStart w:id="25" w:name="_Toc10519"/>
      <w:r>
        <w:rPr>
          <w:rFonts w:hint="eastAsia" w:ascii="Times New Roman" w:hAnsi="Times New Roman" w:eastAsia="宋体" w:cs="Times New Roman"/>
          <w:sz w:val="24"/>
          <w:szCs w:val="24"/>
        </w:rPr>
        <w:t>2 检定结果</w:t>
      </w:r>
      <w:bookmarkEnd w:id="25"/>
    </w:p>
    <w:p w14:paraId="6466595E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2.1 本底</w:t>
      </w:r>
    </w:p>
    <w:p w14:paraId="457F595E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2.2 探测效率</w:t>
      </w:r>
    </w:p>
    <w:p w14:paraId="41944C68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2.3 重复性</w:t>
      </w:r>
    </w:p>
    <w:p w14:paraId="1DAF85E4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2.4 探测效率非线性</w:t>
      </w:r>
    </w:p>
    <w:p w14:paraId="076C1FAC">
      <w:pPr>
        <w:outlineLvl w:val="1"/>
        <w:rPr>
          <w:rFonts w:ascii="Times New Roman" w:hAnsi="Times New Roman" w:eastAsia="宋体" w:cs="Times New Roman"/>
          <w:sz w:val="28"/>
          <w:szCs w:val="28"/>
        </w:rPr>
      </w:pPr>
      <w:bookmarkStart w:id="26" w:name="_Toc32635"/>
      <w:r>
        <w:rPr>
          <w:rFonts w:hint="eastAsia" w:ascii="Times New Roman" w:hAnsi="Times New Roman" w:eastAsia="宋体" w:cs="Times New Roman"/>
          <w:sz w:val="28"/>
          <w:szCs w:val="28"/>
        </w:rPr>
        <w:t>二、检定原始记录格式</w:t>
      </w:r>
      <w:bookmarkEnd w:id="26"/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8"/>
        <w:gridCol w:w="127"/>
        <w:gridCol w:w="511"/>
        <w:gridCol w:w="255"/>
        <w:gridCol w:w="383"/>
        <w:gridCol w:w="213"/>
        <w:gridCol w:w="170"/>
        <w:gridCol w:w="255"/>
        <w:gridCol w:w="511"/>
        <w:gridCol w:w="127"/>
        <w:gridCol w:w="321"/>
        <w:gridCol w:w="318"/>
        <w:gridCol w:w="638"/>
        <w:gridCol w:w="127"/>
        <w:gridCol w:w="298"/>
        <w:gridCol w:w="213"/>
        <w:gridCol w:w="255"/>
        <w:gridCol w:w="383"/>
        <w:gridCol w:w="383"/>
        <w:gridCol w:w="255"/>
        <w:gridCol w:w="511"/>
        <w:gridCol w:w="128"/>
        <w:gridCol w:w="640"/>
      </w:tblGrid>
      <w:tr w14:paraId="5ABE9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47" w:type="dxa"/>
            <w:gridSpan w:val="12"/>
            <w:vAlign w:val="center"/>
          </w:tcPr>
          <w:p w14:paraId="1DF0548B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送检单位：</w:t>
            </w:r>
          </w:p>
        </w:tc>
        <w:tc>
          <w:tcPr>
            <w:tcW w:w="4149" w:type="dxa"/>
            <w:gridSpan w:val="12"/>
            <w:vAlign w:val="center"/>
          </w:tcPr>
          <w:p w14:paraId="7F4D7CED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样品名称：</w:t>
            </w:r>
          </w:p>
        </w:tc>
      </w:tr>
      <w:tr w14:paraId="314FD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3" w:type="dxa"/>
            <w:gridSpan w:val="7"/>
            <w:vAlign w:val="center"/>
          </w:tcPr>
          <w:p w14:paraId="16A8A6CA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规格型号：</w:t>
            </w:r>
          </w:p>
        </w:tc>
        <w:tc>
          <w:tcPr>
            <w:tcW w:w="2765" w:type="dxa"/>
            <w:gridSpan w:val="9"/>
            <w:vAlign w:val="center"/>
          </w:tcPr>
          <w:p w14:paraId="5F135385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编号：</w:t>
            </w:r>
          </w:p>
        </w:tc>
        <w:tc>
          <w:tcPr>
            <w:tcW w:w="2768" w:type="dxa"/>
            <w:gridSpan w:val="8"/>
            <w:vAlign w:val="center"/>
          </w:tcPr>
          <w:p w14:paraId="7268960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制造厂：</w:t>
            </w:r>
          </w:p>
        </w:tc>
      </w:tr>
      <w:tr w14:paraId="72638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3" w:type="dxa"/>
            <w:gridSpan w:val="7"/>
            <w:vAlign w:val="center"/>
          </w:tcPr>
          <w:p w14:paraId="58E7AC5B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γ标准源核素：</w:t>
            </w:r>
          </w:p>
        </w:tc>
        <w:tc>
          <w:tcPr>
            <w:tcW w:w="2765" w:type="dxa"/>
            <w:gridSpan w:val="9"/>
            <w:vAlign w:val="center"/>
          </w:tcPr>
          <w:p w14:paraId="4ACC14C5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活度范围：</w:t>
            </w:r>
          </w:p>
        </w:tc>
        <w:tc>
          <w:tcPr>
            <w:tcW w:w="2768" w:type="dxa"/>
            <w:gridSpan w:val="8"/>
            <w:vAlign w:val="center"/>
          </w:tcPr>
          <w:p w14:paraId="603BD4E7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扩展不确定度：</w:t>
            </w:r>
          </w:p>
        </w:tc>
      </w:tr>
      <w:tr w14:paraId="4096B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24"/>
            <w:vAlign w:val="center"/>
          </w:tcPr>
          <w:p w14:paraId="61D4ED0B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环境条件：</w:t>
            </w:r>
          </w:p>
        </w:tc>
      </w:tr>
      <w:tr w14:paraId="7CEE1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24"/>
            <w:vAlign w:val="center"/>
          </w:tcPr>
          <w:p w14:paraId="0ABC82AF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一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本底：（</w:t>
            </w:r>
            <w:r>
              <w:rPr>
                <w:rFonts w:hint="eastAsia" w:ascii="Times New Roman" w:hAnsi="Times New Roman" w:eastAsia="宋体" w:cs="Times New Roman"/>
                <w:i/>
                <w:sz w:val="24"/>
                <w:szCs w:val="24"/>
              </w:rPr>
              <w:t>t</w:t>
            </w:r>
            <w:r>
              <w:rPr>
                <w:rFonts w:hint="eastAsia" w:ascii="Times New Roman" w:hAnsi="Times New Roman" w:eastAsia="宋体" w:cs="Times New Roman"/>
                <w:i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=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60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s）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min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perscript"/>
              </w:rPr>
              <w:t>-1</w:t>
            </w:r>
          </w:p>
        </w:tc>
      </w:tr>
      <w:tr w14:paraId="78098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36" w:type="dxa"/>
            <w:vAlign w:val="center"/>
          </w:tcPr>
          <w:p w14:paraId="554087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仪器读数</w:t>
            </w:r>
          </w:p>
        </w:tc>
        <w:tc>
          <w:tcPr>
            <w:tcW w:w="638" w:type="dxa"/>
            <w:vAlign w:val="center"/>
          </w:tcPr>
          <w:p w14:paraId="27A30B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3508007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0F0715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1DD926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2E94FA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244FEC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293A09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329B4E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0B1F14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426680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715DD5C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平均值</w:t>
            </w:r>
          </w:p>
        </w:tc>
        <w:tc>
          <w:tcPr>
            <w:tcW w:w="640" w:type="dxa"/>
            <w:vAlign w:val="center"/>
          </w:tcPr>
          <w:p w14:paraId="37DEC3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DA62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24"/>
            <w:vAlign w:val="center"/>
          </w:tcPr>
          <w:p w14:paraId="7EE0B5AA">
            <w:pP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二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探测效率（</w:t>
            </w:r>
            <w:r>
              <w:rPr>
                <w:rFonts w:hint="eastAsia" w:ascii="Times New Roman" w:hAnsi="Times New Roman" w:eastAsia="宋体" w:cs="Times New Roman"/>
                <w:i/>
                <w:sz w:val="24"/>
                <w:szCs w:val="24"/>
              </w:rPr>
              <w:t>t</w:t>
            </w:r>
            <w:r>
              <w:rPr>
                <w:rFonts w:hint="eastAsia" w:ascii="Times New Roman" w:hAnsi="Times New Roman" w:eastAsia="宋体" w:cs="Times New Roman"/>
                <w:i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=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60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bookmarkStart w:id="27" w:name="_GoBack"/>
            <w:bookmarkEnd w:id="27"/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s，</w:t>
            </w:r>
            <w:r>
              <w:rPr>
                <w:rFonts w:hint="eastAsia" w:ascii="Times New Roman" w:hAnsi="Times New Roman" w:eastAsia="宋体" w:cs="Times New Roman"/>
                <w:i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Bq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）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E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=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%</w:t>
            </w:r>
          </w:p>
        </w:tc>
      </w:tr>
      <w:tr w14:paraId="67883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36" w:type="dxa"/>
            <w:vAlign w:val="center"/>
          </w:tcPr>
          <w:p w14:paraId="3A3FA2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仪器读数</w:t>
            </w:r>
          </w:p>
        </w:tc>
        <w:tc>
          <w:tcPr>
            <w:tcW w:w="638" w:type="dxa"/>
            <w:vAlign w:val="center"/>
          </w:tcPr>
          <w:p w14:paraId="365CF68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276AE7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4B33510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0AB990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0BEE44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4ECEB3E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6AD7E7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77C6D0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2127B0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0AB1BA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5F5588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平均值</w:t>
            </w:r>
          </w:p>
        </w:tc>
        <w:tc>
          <w:tcPr>
            <w:tcW w:w="640" w:type="dxa"/>
            <w:vAlign w:val="center"/>
          </w:tcPr>
          <w:p w14:paraId="6F67432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2C01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24"/>
            <w:vAlign w:val="center"/>
          </w:tcPr>
          <w:p w14:paraId="4FF7DC02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三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重复性：（</w:t>
            </w:r>
            <w:r>
              <w:rPr>
                <w:rFonts w:hint="eastAsia" w:ascii="Times New Roman" w:hAnsi="Times New Roman" w:eastAsia="宋体" w:cs="Times New Roman"/>
                <w:i/>
                <w:sz w:val="24"/>
                <w:szCs w:val="24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=60s）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S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=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</w:p>
        </w:tc>
      </w:tr>
      <w:tr w14:paraId="71213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36" w:type="dxa"/>
            <w:vAlign w:val="center"/>
          </w:tcPr>
          <w:p w14:paraId="4F91DF75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仪器读数</w:t>
            </w:r>
          </w:p>
        </w:tc>
        <w:tc>
          <w:tcPr>
            <w:tcW w:w="765" w:type="dxa"/>
            <w:gridSpan w:val="2"/>
            <w:vAlign w:val="center"/>
          </w:tcPr>
          <w:p w14:paraId="39EBAB9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vAlign w:val="center"/>
          </w:tcPr>
          <w:p w14:paraId="2121FD8C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vAlign w:val="center"/>
          </w:tcPr>
          <w:p w14:paraId="3008A0DA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vAlign w:val="center"/>
          </w:tcPr>
          <w:p w14:paraId="560F9F7D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vAlign w:val="center"/>
          </w:tcPr>
          <w:p w14:paraId="3066658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63512A08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vAlign w:val="center"/>
          </w:tcPr>
          <w:p w14:paraId="3BC64DC6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vAlign w:val="center"/>
          </w:tcPr>
          <w:p w14:paraId="41A268BD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vAlign w:val="center"/>
          </w:tcPr>
          <w:p w14:paraId="0E99034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6954B14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AAB4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47" w:type="dxa"/>
            <w:gridSpan w:val="12"/>
            <w:vAlign w:val="center"/>
          </w:tcPr>
          <w:p w14:paraId="5A9DD6A8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平均值：</w:t>
            </w:r>
          </w:p>
        </w:tc>
        <w:tc>
          <w:tcPr>
            <w:tcW w:w="4149" w:type="dxa"/>
            <w:gridSpan w:val="12"/>
            <w:vAlign w:val="center"/>
          </w:tcPr>
          <w:p w14:paraId="3D80362D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σ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bscript"/>
              </w:rPr>
              <w:t>n-1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：</w:t>
            </w:r>
          </w:p>
        </w:tc>
      </w:tr>
      <w:tr w14:paraId="2E64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24"/>
            <w:vAlign w:val="center"/>
          </w:tcPr>
          <w:p w14:paraId="5348E41F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四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探测效率非线性：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         </w:t>
            </w:r>
            <m:oMath>
              <m:acc>
                <m:accPr>
                  <m:chr m:val="̅"/>
                  <m:ctrlPr>
                    <w:rPr>
                      <w:rFonts w:ascii="Cambria Math" w:hAnsi="Cambria Math" w:eastAsia="宋体"/>
                    </w:rPr>
                  </m:ctrlPr>
                </m:accPr>
                <m:e>
                  <m:r>
                    <m:rPr/>
                    <w:rPr>
                      <w:rFonts w:ascii="Cambria Math" w:hAnsi="Cambria Math" w:eastAsia="宋体"/>
                    </w:rPr>
                    <m:t>E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acc>
            </m:oMath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=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%</w:t>
            </w:r>
          </w:p>
        </w:tc>
      </w:tr>
      <w:tr w14:paraId="14B8B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 w14:paraId="5C2DA3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6381" w:type="dxa"/>
            <w:gridSpan w:val="20"/>
            <w:vAlign w:val="center"/>
          </w:tcPr>
          <w:p w14:paraId="55EBC76B">
            <w:pPr>
              <w:jc w:val="center"/>
              <w:rPr>
                <w:rFonts w:ascii="Times New Roman" w:hAnsi="Times New Roman" w:eastAsia="宋体" w:cs="Times New Roman"/>
                <w:i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/>
                <w:sz w:val="24"/>
                <w:szCs w:val="24"/>
              </w:rPr>
              <w:t>C</w:t>
            </w:r>
          </w:p>
        </w:tc>
        <w:tc>
          <w:tcPr>
            <w:tcW w:w="639" w:type="dxa"/>
            <w:gridSpan w:val="2"/>
            <w:vAlign w:val="center"/>
          </w:tcPr>
          <w:p w14:paraId="514E29E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平均值</w:t>
            </w:r>
          </w:p>
        </w:tc>
        <w:tc>
          <w:tcPr>
            <w:tcW w:w="640" w:type="dxa"/>
            <w:vAlign w:val="center"/>
          </w:tcPr>
          <w:p w14:paraId="3EA9D7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/>
                <w:sz w:val="24"/>
                <w:szCs w:val="24"/>
              </w:rPr>
              <w:t>R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bscript"/>
              </w:rPr>
              <w:t>i</w:t>
            </w:r>
          </w:p>
        </w:tc>
      </w:tr>
      <w:tr w14:paraId="61886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 w14:paraId="0D3855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4540F2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67A29A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640517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3255A44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1A8B4C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6CF6FA4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59ED11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76B89D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2383D8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1411697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7B06EA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53543BD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8A8F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 w14:paraId="487D86F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12B072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162B22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0FE593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755136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47AF84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338966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393605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688647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026363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39FE4C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6BC9A1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31482B1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A396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 w14:paraId="459FCE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1EB788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01F598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45E03B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464FF2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0422C7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4539B9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52999C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6A1C83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62E6BE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49365C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459286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212D84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80B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 w14:paraId="3737DD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7541DA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7A72AC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1C46263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4A3574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7FBCC4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07DDC4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61D3AA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103E6C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45E272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1B4A0FB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034A70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59D413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9C7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6" w:type="dxa"/>
            <w:vAlign w:val="center"/>
          </w:tcPr>
          <w:p w14:paraId="1FBAF1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61D288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64C185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6F2469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62F489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5A3F2E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44E51C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vAlign w:val="center"/>
          </w:tcPr>
          <w:p w14:paraId="248F0BC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Align w:val="center"/>
          </w:tcPr>
          <w:p w14:paraId="1EC40F0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6280BC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2"/>
            <w:vAlign w:val="center"/>
          </w:tcPr>
          <w:p w14:paraId="7FD164D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center"/>
          </w:tcPr>
          <w:p w14:paraId="1F15C1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20AF226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29C14DDB">
      <w:pPr>
        <w:rPr>
          <w:rFonts w:ascii="Times New Roman" w:hAnsi="Times New Roman" w:eastAsia="宋体" w:cs="Times New Roman"/>
          <w:sz w:val="28"/>
          <w:szCs w:val="28"/>
        </w:rPr>
      </w:pPr>
    </w:p>
    <w:p w14:paraId="5D5CB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/>
          <w:sz w:val="24"/>
          <w:szCs w:val="24"/>
          <w:lang w:val="en-US" w:eastAsia="zh-CN"/>
        </w:rPr>
      </w:pPr>
    </w:p>
    <w:sectPr>
      <w:footerReference r:id="rId8" w:type="default"/>
      <w:pgSz w:w="11906" w:h="16838"/>
      <w:pgMar w:top="1497" w:right="1406" w:bottom="1440" w:left="1752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Abadi MT Condensed Light">
    <w:altName w:val="Arial Narrow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7DABE">
    <w:pPr>
      <w:pStyle w:val="8"/>
      <w:jc w:val="right"/>
    </w:pPr>
  </w:p>
  <w:p w14:paraId="57ED9428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78186">
    <w:pPr>
      <w:pStyle w:val="8"/>
      <w:rPr>
        <w:rFonts w:hint="eastAsia"/>
      </w:rPr>
    </w:pPr>
    <w:r>
      <w:rPr>
        <w:rFonts w:hint="eastAsia"/>
      </w:rPr>
      <w:t xml:space="preserve"> </w:t>
    </w:r>
    <w:r>
      <w:t xml:space="preserve">                                                                                           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CCBF5">
    <w:pPr>
      <w:pStyle w:val="8"/>
      <w:jc w:val="right"/>
      <w:rPr>
        <w:rFonts w:hint="eastAsia"/>
      </w:rPr>
    </w:pPr>
    <w:r>
      <w:rPr>
        <w:rFonts w:hint="eastAsia"/>
      </w:rPr>
      <w:t>II</w:t>
    </w:r>
  </w:p>
  <w:p w14:paraId="0E853057">
    <w:pPr>
      <w:pStyle w:val="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77EF2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6473F4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6473F4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90BDF">
    <w:pPr>
      <w:pStyle w:val="9"/>
      <w:jc w:val="right"/>
    </w:pPr>
  </w:p>
  <w:p w14:paraId="29D58E43"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FDA66">
    <w:pPr>
      <w:pStyle w:val="9"/>
      <w:jc w:val="right"/>
    </w:pPr>
  </w:p>
  <w:p w14:paraId="10780AAF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iOGY2MTU3MWQ5ZGRjZDNiY2YyZDQ1YWRkOGU3NjIifQ=="/>
  </w:docVars>
  <w:rsids>
    <w:rsidRoot w:val="0037012E"/>
    <w:rsid w:val="00062F6E"/>
    <w:rsid w:val="002543B5"/>
    <w:rsid w:val="0037012E"/>
    <w:rsid w:val="003B6544"/>
    <w:rsid w:val="00594336"/>
    <w:rsid w:val="006225EA"/>
    <w:rsid w:val="00BE33CC"/>
    <w:rsid w:val="00CB0366"/>
    <w:rsid w:val="00D61A2F"/>
    <w:rsid w:val="00ED7D2A"/>
    <w:rsid w:val="056A6ABC"/>
    <w:rsid w:val="0B4B562C"/>
    <w:rsid w:val="0DE52DC7"/>
    <w:rsid w:val="13AB7CFA"/>
    <w:rsid w:val="1B76762C"/>
    <w:rsid w:val="1D4F6E3B"/>
    <w:rsid w:val="21AC5E36"/>
    <w:rsid w:val="2AA15124"/>
    <w:rsid w:val="31D160FA"/>
    <w:rsid w:val="443C4AA6"/>
    <w:rsid w:val="455D71AD"/>
    <w:rsid w:val="4D1B02B0"/>
    <w:rsid w:val="6BAE71C1"/>
    <w:rsid w:val="6C1825D5"/>
    <w:rsid w:val="6D205BE5"/>
    <w:rsid w:val="7309211F"/>
    <w:rsid w:val="740460FE"/>
    <w:rsid w:val="7CF5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ind w:firstLine="5880"/>
      <w:jc w:val="right"/>
      <w:outlineLvl w:val="0"/>
    </w:pPr>
    <w:rPr>
      <w:rFonts w:ascii="Arial Black" w:hAnsi="Arial Black"/>
      <w:shadow/>
      <w:sz w:val="84"/>
    </w:rPr>
  </w:style>
  <w:style w:type="paragraph" w:styleId="3">
    <w:name w:val="heading 2"/>
    <w:basedOn w:val="1"/>
    <w:next w:val="4"/>
    <w:qFormat/>
    <w:uiPriority w:val="0"/>
    <w:pPr>
      <w:keepNext/>
      <w:spacing w:line="300" w:lineRule="exact"/>
      <w:outlineLvl w:val="1"/>
    </w:pPr>
    <w:rPr>
      <w:rFonts w:ascii="黑体" w:hAnsi="Abadi MT Condensed Light"/>
      <w:sz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  <w:pPr>
      <w:spacing w:line="288" w:lineRule="auto"/>
    </w:pPr>
    <w:rPr>
      <w:rFonts w:ascii="宋体" w:hAnsi="宋体"/>
      <w:b/>
      <w:bCs/>
      <w:color w:val="000000"/>
      <w:sz w:val="28"/>
      <w:szCs w:val="28"/>
    </w:r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qFormat/>
    <w:uiPriority w:val="99"/>
    <w:rPr>
      <w:color w:val="0000FF"/>
      <w:u w:val="single"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3"/>
    <w:link w:val="9"/>
    <w:qFormat/>
    <w:uiPriority w:val="99"/>
    <w:rPr>
      <w:sz w:val="18"/>
      <w:szCs w:val="18"/>
    </w:rPr>
  </w:style>
  <w:style w:type="character" w:customStyle="1" w:styleId="17">
    <w:name w:val="页脚 字符"/>
    <w:basedOn w:val="13"/>
    <w:link w:val="8"/>
    <w:qFormat/>
    <w:uiPriority w:val="99"/>
    <w:rPr>
      <w:sz w:val="18"/>
      <w:szCs w:val="18"/>
    </w:rPr>
  </w:style>
  <w:style w:type="paragraph" w:customStyle="1" w:styleId="18">
    <w:name w:val="WPSOffice手动目录 1"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9">
    <w:name w:val="WPSOffice手动目录 2"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2.jpeg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2357</Words>
  <Characters>2911</Characters>
  <Lines>7</Lines>
  <Paragraphs>2</Paragraphs>
  <TotalTime>45</TotalTime>
  <ScaleCrop>false</ScaleCrop>
  <LinksUpToDate>false</LinksUpToDate>
  <CharactersWithSpaces>3158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2022-12-05T03:44:00Z</dcterms:created>
  <dc:creator>范 富有</dc:creator>
  <cp:lastModifiedBy>范富有活度</cp:lastModifiedBy>
  <dcterms:modified xsi:type="dcterms:W3CDTF">2024-11-11T08:40:43Z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9E332E875F5942DDA8A5B567B2EFA23E_12</vt:lpwstr>
  </property>
</Properties>
</file>